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Switzerland</w:t>
      </w:r>
      <w:r>
        <w:t xml:space="preserve"> </w:t>
      </w:r>
      <w:r>
        <w:t xml:space="preserve">Zurich</w:t>
      </w:r>
    </w:p>
    <w:bookmarkStart w:id="28" w:name="X28d7dde6b8d350046f8c5f064ddbb90aad0b8d2"/>
    <w:p>
      <w:pPr>
        <w:pStyle w:val="Heading1"/>
      </w:pPr>
      <w:r>
        <w:t xml:space="preserve">The Evolution and Future of the Banker in Switzerland Zurich:</w:t>
      </w:r>
      <w:r>
        <w:br/>
      </w:r>
      <w:r>
        <w:t xml:space="preserve">A Conference Paper on Tradition, Innovation, and Trust</w:t>
      </w:r>
    </w:p>
    <w:p>
      <w:pPr>
        <w:pStyle w:val="FirstParagraph"/>
      </w:pPr>
      <w:r>
        <w:rPr>
          <w:bCs/>
          <w:b/>
        </w:rPr>
        <w:t xml:space="preserve">Presentation for the International Symposium on Global Finance</w:t>
      </w:r>
      <w:r>
        <w:br/>
      </w:r>
      <w:r>
        <w:t xml:space="preserve">Submitted by: Dr. Elena Weber, Senior Research Fellow in European Banking Systems</w:t>
      </w:r>
      <w:r>
        <w:br/>
      </w:r>
      <w:r>
        <w:t xml:space="preserve">Date: October 2023</w:t>
      </w:r>
      <w:r>
        <w:br/>
      </w:r>
      <w:r>
        <w:t xml:space="preserve">Location: Zurich, Switzerland</w:t>
      </w:r>
    </w:p>
    <w:bookmarkStart w:id="20" w:name="abstract"/>
    <w:p>
      <w:pPr>
        <w:pStyle w:val="Heading3"/>
      </w:pPr>
      <w:r>
        <w:t xml:space="preserve">Abstract</w:t>
      </w:r>
    </w:p>
    <w:p>
      <w:pPr>
        <w:pStyle w:val="FirstParagraph"/>
      </w:pPr>
      <w:r>
        <w:t xml:space="preserve">This paper examines the transformative role of the modern</w:t>
      </w:r>
      <w:r>
        <w:t xml:space="preserve"> </w:t>
      </w:r>
      <w:r>
        <w:rPr>
          <w:bCs/>
          <w:b/>
        </w:rPr>
        <w:t xml:space="preserve">Banker</w:t>
      </w:r>
      <w:r>
        <w:t xml:space="preserve"> </w:t>
      </w:r>
      <w:r>
        <w:t xml:space="preserve">within the specific economic and cultural ecosystem of</w:t>
      </w:r>
      <w:r>
        <w:t xml:space="preserve"> </w:t>
      </w:r>
      <w:r>
        <w:rPr>
          <w:bCs/>
          <w:b/>
        </w:rPr>
        <w:t xml:space="preserve">Switzerland Zurich</w:t>
      </w:r>
      <w:r>
        <w:t xml:space="preserve">. As a global hub for wealth management and private banking, this region stands at a critical juncture. The traditional image of the opaque, secretive banker is being replaced by one of transparent, advisory-driven fiduciary service. This document analyzes the historical context that established Zurich as a financial powerhouse, explores the regulatory pressures exerted by international bodies such as the OECD and FATF, and discusses how digital transformation is reshaping client expectations. Furthermore, it evaluates the ethical responsibilities of the</w:t>
      </w:r>
      <w:r>
        <w:t xml:space="preserve"> </w:t>
      </w:r>
      <w:r>
        <w:rPr>
          <w:bCs/>
          <w:b/>
        </w:rPr>
        <w:t xml:space="preserve">Banker</w:t>
      </w:r>
      <w:r>
        <w:t xml:space="preserve"> </w:t>
      </w:r>
      <w:r>
        <w:t xml:space="preserve">in maintaining Switzerland’s reputation for stability while adapting to sustainable finance standards. The conclusion posits that success in</w:t>
      </w:r>
      <w:r>
        <w:t xml:space="preserve"> </w:t>
      </w:r>
      <w:r>
        <w:rPr>
          <w:bCs/>
          <w:b/>
        </w:rPr>
        <w:t xml:space="preserve">Switzerland Zurich</w:t>
      </w:r>
      <w:r>
        <w:t xml:space="preserve"> </w:t>
      </w:r>
      <w:r>
        <w:t xml:space="preserve">relies on a hybrid model combining ancestral discretion with cutting-edge technological efficiency.</w:t>
      </w:r>
    </w:p>
    <w:bookmarkEnd w:id="20"/>
    <w:bookmarkStart w:id="21" w:name="introduction-the-zurich-paradigm"/>
    <w:p>
      <w:pPr>
        <w:pStyle w:val="Heading2"/>
      </w:pPr>
      <w:r>
        <w:t xml:space="preserve">1. Introduction: The Zurich Paradigm</w:t>
      </w:r>
    </w:p>
    <w:p>
      <w:pPr>
        <w:pStyle w:val="FirstParagraph"/>
      </w:pPr>
      <w:r>
        <w:t xml:space="preserve">The city of Zurich, often referred to as the financial capital of</w:t>
      </w:r>
      <w:r>
        <w:t xml:space="preserve"> </w:t>
      </w:r>
      <w:r>
        <w:rPr>
          <w:bCs/>
          <w:b/>
        </w:rPr>
        <w:t xml:space="preserve">Switzerland Zurich</w:t>
      </w:r>
      <w:r>
        <w:t xml:space="preserve">, has long been synonymous with precision, stability, and discretion. For over a century, the archetype of the Swiss Banker has dominated global narratives regarding wealth preservation. However, in recent decades, this archetype has undergone significant metamorphosis. This conference paper aims to dissect these changes through three lenses: historical legacy, regulatory compliance, and technological integration.</w:t>
      </w:r>
    </w:p>
    <w:p>
      <w:pPr>
        <w:pStyle w:val="BodyText"/>
      </w:pPr>
      <w:r>
        <w:t xml:space="preserve">The term "Banker" carries with it a weight of history in Zurich. It is not merely a job title but a cultural identifier representing a specific set of skills ranging from deep psychological insight into client needs to rigorous analytical capabilities in risk management. Yet, the geopolitical landscape has shifted dramatically since the mid-20th century. The era of anonymous numbered accounts, which once defined the</w:t>
      </w:r>
      <w:r>
        <w:t xml:space="preserve"> </w:t>
      </w:r>
      <w:r>
        <w:rPr>
          <w:bCs/>
          <w:b/>
        </w:rPr>
        <w:t xml:space="preserve">Banker</w:t>
      </w:r>
      <w:r>
        <w:t xml:space="preserve">'s role in</w:t>
      </w:r>
      <w:r>
        <w:t xml:space="preserve"> </w:t>
      </w:r>
      <w:r>
        <w:rPr>
          <w:bCs/>
          <w:b/>
        </w:rPr>
        <w:t xml:space="preserve">Switzerland Zurich</w:t>
      </w:r>
      <w:r>
        <w:t xml:space="preserve">, has largely concluded under international pressure for transparency.</w:t>
      </w:r>
    </w:p>
    <w:bookmarkEnd w:id="21"/>
    <w:bookmarkStart w:id="22" w:name="Xd334cf84f8f7dc12bcb42fa5fd1afc6e96291d4"/>
    <w:p>
      <w:pPr>
        <w:pStyle w:val="Heading2"/>
      </w:pPr>
      <w:r>
        <w:t xml:space="preserve">2. From Secrecy to Transparency: A Regulatory Shift</w:t>
      </w:r>
    </w:p>
    <w:p>
      <w:pPr>
        <w:pStyle w:val="FirstParagraph"/>
      </w:pPr>
      <w:r>
        <w:t xml:space="preserve">To understand the current state of banking in this region, one must acknowledge the pivotal regulatory changes that occurred at the turn of the 21st century. The implementation of Foreign Account Tax Compliance Act (FATCA) by the United States and subsequent global standards for Automatic Exchange of Information (AEOI) fundamentally altered how a</w:t>
      </w:r>
      <w:r>
        <w:t xml:space="preserve"> </w:t>
      </w:r>
      <w:r>
        <w:rPr>
          <w:bCs/>
          <w:b/>
        </w:rPr>
        <w:t xml:space="preserve">Banker</w:t>
      </w:r>
      <w:r>
        <w:t xml:space="preserve"> </w:t>
      </w:r>
      <w:r>
        <w:t xml:space="preserve">operates in</w:t>
      </w:r>
      <w:r>
        <w:t xml:space="preserve"> </w:t>
      </w:r>
      <w:r>
        <w:rPr>
          <w:bCs/>
          <w:b/>
        </w:rPr>
        <w:t xml:space="preserve">Switzerland Zurich</w:t>
      </w:r>
      <w:r>
        <w:t xml:space="preserve">.</w:t>
      </w:r>
    </w:p>
    <w:p>
      <w:pPr>
        <w:pStyle w:val="BodyText"/>
      </w:pPr>
      <w:r>
        <w:t xml:space="preserve">Gone are the days when a client's identity was shielded behind layers of shell companies and opaque jurisdictions. Today, the modern Banker acts as a compliance gatekeeper as much as an investment advisor. This shift has forced institutions in Zurich to invest heavily in know-your-customer (KYC) protocols and anti-money laundering (AML) frameworks. Consequently, the profile of the ideal</w:t>
      </w:r>
      <w:r>
        <w:t xml:space="preserve"> </w:t>
      </w:r>
      <w:r>
        <w:rPr>
          <w:bCs/>
          <w:b/>
        </w:rPr>
        <w:t xml:space="preserve">Banker</w:t>
      </w:r>
      <w:r>
        <w:t xml:space="preserve"> </w:t>
      </w:r>
      <w:r>
        <w:t xml:space="preserve">has evolved; they must now be fluent not only in finance but also in international law and regulatory technology.</w:t>
      </w:r>
    </w:p>
    <w:p>
      <w:pPr>
        <w:pStyle w:val="BodyText"/>
      </w:pPr>
      <w:r>
        <w:t xml:space="preserve">This transition was not without friction. There was a period of anxiety regarding capital flight from</w:t>
      </w:r>
      <w:r>
        <w:t xml:space="preserve"> </w:t>
      </w:r>
      <w:r>
        <w:rPr>
          <w:bCs/>
          <w:b/>
        </w:rPr>
        <w:t xml:space="preserve">Switzerland Zurich</w:t>
      </w:r>
      <w:r>
        <w:t xml:space="preserve">. However, data suggests that while volume fluctuated, the quality of relationships remained intact. High-net-worth individuals (HNWIs) began to value the rule of law and political stability offered by</w:t>
      </w:r>
      <w:r>
        <w:t xml:space="preserve"> </w:t>
      </w:r>
      <w:r>
        <w:rPr>
          <w:bCs/>
          <w:b/>
        </w:rPr>
        <w:t xml:space="preserve">Switzerland Zurich</w:t>
      </w:r>
      <w:r>
        <w:t xml:space="preserve"> </w:t>
      </w:r>
      <w:r>
        <w:t xml:space="preserve">over mere secrecy. Thus, the trust model shifted from "hiding assets" to "protecting legitimate wealth through superior governance."</w:t>
      </w:r>
    </w:p>
    <w:bookmarkEnd w:id="22"/>
    <w:bookmarkStart w:id="23" w:name="X89c50f8c568bd02120df0a20539db941bf7864d"/>
    <w:p>
      <w:pPr>
        <w:pStyle w:val="Heading2"/>
      </w:pPr>
      <w:r>
        <w:t xml:space="preserve">3. The Digital Transformation of Banking Services</w:t>
      </w:r>
    </w:p>
    <w:p>
      <w:pPr>
        <w:pStyle w:val="FirstParagraph"/>
      </w:pPr>
      <w:r>
        <w:t xml:space="preserve">The advent of Fintech and Big Tech entering the financial sector has posed both a threat and an opportunity for traditional institutions in</w:t>
      </w:r>
      <w:r>
        <w:t xml:space="preserve"> </w:t>
      </w:r>
      <w:r>
        <w:rPr>
          <w:bCs/>
          <w:b/>
        </w:rPr>
        <w:t xml:space="preserve">Switzerland Zurich</w:t>
      </w:r>
      <w:r>
        <w:t xml:space="preserve">. The modern client, whether based in Asia, North America, or Europe, expects seamless digital experiences. They demand real-time portfolio tracking, automated reporting tools, and secure communication channels.</w:t>
      </w:r>
    </w:p>
    <w:p>
      <w:pPr>
        <w:pStyle w:val="BodyText"/>
      </w:pPr>
      <w:r>
        <w:t xml:space="preserve">This technological imperative has redefined the daily tasks of the Banker. Routine transactions and basic advisory services are increasingly handled by algorithms and robo-advisors. This allows the human</w:t>
      </w:r>
      <w:r>
        <w:t xml:space="preserve"> </w:t>
      </w:r>
      <w:r>
        <w:rPr>
          <w:bCs/>
          <w:b/>
        </w:rPr>
        <w:t xml:space="preserve">Banker</w:t>
      </w:r>
      <w:r>
        <w:t xml:space="preserve"> </w:t>
      </w:r>
      <w:r>
        <w:t xml:space="preserve">to focus on high-value interactions that require emotional intelligence, complex estate planning, and multi-generational wealth transfer strategies. In</w:t>
      </w:r>
      <w:r>
        <w:t xml:space="preserve"> </w:t>
      </w:r>
      <w:r>
        <w:rPr>
          <w:bCs/>
          <w:b/>
        </w:rPr>
        <w:t xml:space="preserve">Switzerland Zurich</w:t>
      </w:r>
      <w:r>
        <w:t xml:space="preserve">, banks have responded by investing billions in digital infrastructure, ensuring that their platforms rival those of agile startups while maintaining the security standards expected by conservative investors.</w:t>
      </w:r>
    </w:p>
    <w:p>
      <w:pPr>
        <w:pStyle w:val="BodyText"/>
      </w:pPr>
      <w:r>
        <w:t xml:space="preserve">Moreover, blockchain technology and distributed ledger systems are beginning to integrate into back-end operations. For the forward-looking Banker in this region, understanding these underlying technologies is no longer optional but essential for maintaining relevance. The convergence of human empathy and machine efficiency represents the new frontier for banking professionals in Zurich.</w:t>
      </w:r>
    </w:p>
    <w:bookmarkEnd w:id="23"/>
    <w:bookmarkStart w:id="24" w:name="X69fcb1ad743889048b92f3ac2d39eaa9ed0a705"/>
    <w:p>
      <w:pPr>
        <w:pStyle w:val="Heading2"/>
      </w:pPr>
      <w:r>
        <w:t xml:space="preserve">4. Sustainability and Ethical Responsibility</w:t>
      </w:r>
    </w:p>
    <w:p>
      <w:pPr>
        <w:pStyle w:val="FirstParagraph"/>
      </w:pPr>
      <w:r>
        <w:t xml:space="preserve">A fourth critical dimension shaping the role of the Banker today is Environmental, Social, and Governance (ESG) criteria. Clients in</w:t>
      </w:r>
      <w:r>
        <w:t xml:space="preserve"> </w:t>
      </w:r>
      <w:r>
        <w:rPr>
          <w:bCs/>
          <w:b/>
        </w:rPr>
        <w:t xml:space="preserve">Switzerland Zurich</w:t>
      </w:r>
      <w:r>
        <w:t xml:space="preserve">, particularly younger generations of HNWIs, are increasingly demanding that their investments align with their personal values. There is a growing consensus that sustainable finance is not just an ethical imperative but a risk management necessity.</w:t>
      </w:r>
    </w:p>
    <w:p>
      <w:pPr>
        <w:pStyle w:val="BodyText"/>
      </w:pPr>
      <w:r>
        <w:t xml:space="preserve">The modern Banker must therefore possess the expertise to analyze carbon footprints, assess climate-related financial risks, and identify green bonds or social impact funds. This requires a deep integration of sustainability metrics into traditional credit analysis and investment strategies. In the context of</w:t>
      </w:r>
      <w:r>
        <w:t xml:space="preserve"> </w:t>
      </w:r>
      <w:r>
        <w:rPr>
          <w:bCs/>
          <w:b/>
        </w:rPr>
        <w:t xml:space="preserve">Switzerland Zurich</w:t>
      </w:r>
      <w:r>
        <w:t xml:space="preserve">, this aligns with the country’s broader national goals of achieving net-zero emissions by 2050.</w:t>
      </w:r>
    </w:p>
    <w:p>
      <w:pPr>
        <w:pStyle w:val="BodyText"/>
      </w:pPr>
      <w:r>
        <w:t xml:space="preserve">This shift also enhances the reputation of Swiss banking on the global stage. By positioning themselves as leaders in sustainable finance, institutions in Zurich differentiate themselves from competitors who may still view ESG merely as a marketing trend. The Banker becomes an advocate for long-term value creation, bridging the gap between profit motives and planetary health.</w:t>
      </w:r>
    </w:p>
    <w:bookmarkEnd w:id="24"/>
    <w:bookmarkStart w:id="25" w:name="human-capital-and-cultural-continuity"/>
    <w:p>
      <w:pPr>
        <w:pStyle w:val="Heading2"/>
      </w:pPr>
      <w:r>
        <w:t xml:space="preserve">5. Human Capital and Cultural Continuity</w:t>
      </w:r>
    </w:p>
    <w:p>
      <w:pPr>
        <w:pStyle w:val="FirstParagraph"/>
      </w:pPr>
      <w:r>
        <w:t xml:space="preserve">Despite the heavy emphasis on technology and regulation, the human element remains paramount in private banking. The relationship between a Banker and their client is often deeply personal, spanning decades and generations. In</w:t>
      </w:r>
      <w:r>
        <w:t xml:space="preserve"> </w:t>
      </w:r>
      <w:r>
        <w:rPr>
          <w:bCs/>
          <w:b/>
        </w:rPr>
        <w:t xml:space="preserve">Switzerland Zurich</w:t>
      </w:r>
      <w:r>
        <w:t xml:space="preserve">, this interpersonal dynamic is rooted in a culture of discretion, reliability, and personalized service.</w:t>
      </w:r>
    </w:p>
    <w:p>
      <w:pPr>
        <w:pStyle w:val="BodyText"/>
      </w:pPr>
      <w:r>
        <w:t xml:space="preserve">Training programs for aspiring Bankers now include modules on cross-cultural communication, conflict resolution, and ethical decision-making. The ability to navigate complex family dynamics and intergenerational conflicts is as important as financial acumen. This soft skill set ensures that the Banker serves not just as a financial manager but as a trusted confidant and strategic partner.</w:t>
      </w:r>
    </w:p>
    <w:p>
      <w:pPr>
        <w:pStyle w:val="BodyText"/>
      </w:pPr>
      <w:r>
        <w:t xml:space="preserve">Furthermore, the talent pool in Zurich is highly international. The city attracts top-tier professionals from around the globe, bringing diverse perspectives to problem-solving. This multicultural environment enriches the service offering and allows Bankers to cater effectively to an international client base, which is a hallmark of banking in</w:t>
      </w:r>
      <w:r>
        <w:t xml:space="preserve"> </w:t>
      </w:r>
      <w:r>
        <w:rPr>
          <w:bCs/>
          <w:b/>
        </w:rPr>
        <w:t xml:space="preserve">Switzerland Zurich</w:t>
      </w:r>
      <w:r>
        <w:t xml:space="preserve">.</w:t>
      </w:r>
    </w:p>
    <w:bookmarkEnd w:id="25"/>
    <w:bookmarkStart w:id="27" w:name="conclusion-the-future-ready-banker"/>
    <w:p>
      <w:pPr>
        <w:pStyle w:val="Heading2"/>
      </w:pPr>
      <w:r>
        <w:t xml:space="preserve">6. Conclusion: The Future-Ready Banker</w:t>
      </w:r>
    </w:p>
    <w:p>
      <w:pPr>
        <w:pStyle w:val="FirstParagraph"/>
      </w:pPr>
      <w:r>
        <w:t xml:space="preserve">In conclusion, the role of the Banker in Switzerland Zurich is undergoing a profound transformation. While the core values of trust, privacy (within legal boundaries), and stability remain intact, the methods and scope of banking have expanded significantly. The successful Banker of tomorrow will be a hybrid professional: part financial analyst, part tech-savvy innovator, part ethical advisor, and part cultural ambassador.</w:t>
      </w:r>
    </w:p>
    <w:p>
      <w:pPr>
        <w:pStyle w:val="BodyText"/>
      </w:pPr>
      <w:r>
        <w:t xml:space="preserve">For institutions operating in this competitive landscape, adaptation is not optional. Those that fail to embrace transparency and digital innovation risk obsolescence. However, those that leverage their historical reputation for excellence while integrating modern best practices will continue to thrive. The future of banking in</w:t>
      </w:r>
      <w:r>
        <w:t xml:space="preserve"> </w:t>
      </w:r>
      <w:r>
        <w:rPr>
          <w:bCs/>
          <w:b/>
        </w:rPr>
        <w:t xml:space="preserve">Switzerland Zurich</w:t>
      </w:r>
      <w:r>
        <w:t xml:space="preserve"> </w:t>
      </w:r>
      <w:r>
        <w:t xml:space="preserve">lies in balancing the old with the new, ensuring that the legacy of the Swiss Banker remains robust, relevant, and respected in a rapidly changing global economy.</w:t>
      </w:r>
    </w:p>
    <w:bookmarkStart w:id="26" w:name="references"/>
    <w:p>
      <w:pPr>
        <w:pStyle w:val="Heading3"/>
      </w:pPr>
      <w:r>
        <w:t xml:space="preserve">References</w:t>
      </w:r>
    </w:p>
    <w:p>
      <w:pPr>
        <w:numPr>
          <w:ilvl w:val="0"/>
          <w:numId w:val="1001"/>
        </w:numPr>
        <w:pStyle w:val="Compact"/>
      </w:pPr>
      <w:r>
        <w:t xml:space="preserve">Schmid, H. (2021). *The Swiss Banking Model in Transition*. Journal of European Finance.</w:t>
      </w:r>
    </w:p>
    <w:p>
      <w:pPr>
        <w:numPr>
          <w:ilvl w:val="0"/>
          <w:numId w:val="1001"/>
        </w:numPr>
        <w:pStyle w:val="Compact"/>
      </w:pPr>
      <w:r>
        <w:t xml:space="preserve">FATF Reports (2022). *Global Standards for Transparency and Exchange of Information.*</w:t>
      </w:r>
    </w:p>
    <w:p>
      <w:pPr>
        <w:numPr>
          <w:ilvl w:val="0"/>
          <w:numId w:val="1001"/>
        </w:numPr>
        <w:pStyle w:val="Compact"/>
      </w:pPr>
      <w:r>
        <w:t xml:space="preserve">Zurich University of Applied Sciences. (2023). *Fintech Disruption and Traditional Banking Responses in DACH Region.*</w:t>
      </w:r>
    </w:p>
    <w:p>
      <w:pPr>
        <w:numPr>
          <w:ilvl w:val="0"/>
          <w:numId w:val="1001"/>
        </w:numPr>
        <w:pStyle w:val="Compact"/>
      </w:pPr>
      <w:r>
        <w:t xml:space="preserve">Siebenhaar, L. &amp; Müller, K. (2019). *Ethics in Private Banking: The Zurich Perspective*. International Review of Financial Analysis.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Banker in Switzerland Zurich</dc:title>
  <dc:creator/>
  <dc:language>en</dc:language>
  <cp:keywords/>
  <dcterms:created xsi:type="dcterms:W3CDTF">2026-07-29T20:53:45Z</dcterms:created>
  <dcterms:modified xsi:type="dcterms:W3CDTF">2026-07-29T20:53:45Z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