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297646810eaf8115a6d6b057f08c8b234e13328"/>
    <w:p>
      <w:pPr>
        <w:pStyle w:val="Heading1"/>
      </w:pPr>
      <w:r>
        <w:t xml:space="preserve">The Role of the Banker in the Economic Landscape of United Arab Emirates Abu Dhabi</w:t>
      </w:r>
    </w:p>
    <w:p>
      <w:pPr>
        <w:pStyle w:val="FirstParagraph"/>
      </w:pPr>
      <w:r>
        <w:rPr>
          <w:bCs/>
          <w:b/>
        </w:rPr>
        <w:t xml:space="preserve">Conference Paper</w:t>
      </w:r>
      <w:r>
        <w:br/>
      </w:r>
      <w:r>
        <w:t xml:space="preserve">Presented at the International Financial Symposium on Emerging Markets</w:t>
      </w:r>
      <w:r>
        <w:br/>
      </w:r>
      <w:r>
        <w:rPr>
          <w:iCs/>
          <w:i/>
        </w:rPr>
        <w:t xml:space="preserve">Date: October 2023</w:t>
      </w:r>
    </w:p>
    <w:bookmarkStart w:id="20" w:name="abstract"/>
    <w:p>
      <w:pPr>
        <w:pStyle w:val="Heading2"/>
      </w:pPr>
      <w:r>
        <w:t xml:space="preserve">Abstract</w:t>
      </w:r>
    </w:p>
    <w:p>
      <w:pPr>
        <w:pStyle w:val="FirstParagraph"/>
      </w:pPr>
      <w:r>
        <w:t xml:space="preserve">This paper examines the pivotal role of the</w:t>
      </w:r>
      <w:r>
        <w:t xml:space="preserve"> </w:t>
      </w:r>
      <w:r>
        <w:rPr>
          <w:bCs/>
          <w:b/>
        </w:rPr>
        <w:t xml:space="preserve">Banker</w:t>
      </w:r>
      <w:r>
        <w:t xml:space="preserve"> </w:t>
      </w:r>
      <w:r>
        <w:t xml:space="preserve">in fostering economic stability and growth within the United Arab Emirates, with a specific focus on Abu Dhabi. As one of the most dynamic financial hubs in the Middle East, Abu Dhabi presents unique challenges and opportunities for banking professionals. This study explores how modern bankers are adapting to regulatory changes, embracing technological innovation, and promoting sustainable finance to support the emirate’s long-term strategic goals.</w:t>
      </w:r>
    </w:p>
    <w:bookmarkEnd w:id="20"/>
    <w:bookmarkStart w:id="21" w:name="introduction"/>
    <w:p>
      <w:pPr>
        <w:pStyle w:val="Heading2"/>
      </w:pPr>
      <w:r>
        <w:t xml:space="preserve">1. Introduction</w:t>
      </w:r>
    </w:p>
    <w:p>
      <w:pPr>
        <w:pStyle w:val="FirstParagraph"/>
      </w:pPr>
      <w:r>
        <w:t xml:space="preserve">The financial sector is the backbone of any thriving economy, and nowhere is this more evident than in Abu Dhabi. As the capital of the United Arab Emirates (UAE), Abu Dhabi has positioned itself as a global center for finance, trade, and investment. At the heart of this ecosystem lies the</w:t>
      </w:r>
      <w:r>
        <w:t xml:space="preserve"> </w:t>
      </w:r>
      <w:r>
        <w:rPr>
          <w:bCs/>
          <w:b/>
        </w:rPr>
        <w:t xml:space="preserve">Banker</w:t>
      </w:r>
      <w:r>
        <w:t xml:space="preserve">, whose responsibilities have evolved significantly over recent decades. No longer limited to traditional deposit-taking and lending activities, today’s banker serves as a strategic advisor, risk manager, and innovator who drives economic development.</w:t>
      </w:r>
    </w:p>
    <w:p>
      <w:pPr>
        <w:pStyle w:val="BodyText"/>
      </w:pPr>
      <w:r>
        <w:t xml:space="preserve">This paper aims to analyze the multifaceted role of the</w:t>
      </w:r>
      <w:r>
        <w:t xml:space="preserve"> </w:t>
      </w:r>
      <w:r>
        <w:rPr>
          <w:bCs/>
          <w:b/>
        </w:rPr>
        <w:t xml:space="preserve">Banker</w:t>
      </w:r>
      <w:r>
        <w:t xml:space="preserve"> </w:t>
      </w:r>
      <w:r>
        <w:t xml:space="preserve">in Abu Dhabi by examining regulatory frameworks, digital transformation initiatives, and sustainable finance practices. It highlights how these elements converge to shape the future of banking in one of the most prosperous regions globally.</w:t>
      </w:r>
    </w:p>
    <w:bookmarkEnd w:id="21"/>
    <w:bookmarkStart w:id="22" w:name="X0f658ef173bf083643beb1fd59aa7088754f46b"/>
    <w:p>
      <w:pPr>
        <w:pStyle w:val="Heading2"/>
      </w:pPr>
      <w:r>
        <w:t xml:space="preserve">2. The Regulatory Environment for Bankers in Abu Dhabi</w:t>
      </w:r>
    </w:p>
    <w:p>
      <w:pPr>
        <w:pStyle w:val="FirstParagraph"/>
      </w:pPr>
      <w:r>
        <w:t xml:space="preserve">The Central Bank of the UAE plays a crucial role in maintaining stability and integrity across all financial institutions operating within its jurisdiction. For every</w:t>
      </w:r>
      <w:r>
        <w:t xml:space="preserve"> </w:t>
      </w:r>
      <w:r>
        <w:rPr>
          <w:bCs/>
          <w:b/>
        </w:rPr>
        <w:t xml:space="preserve">Banker</w:t>
      </w:r>
      <w:r>
        <w:t xml:space="preserve"> </w:t>
      </w:r>
      <w:r>
        <w:t xml:space="preserve">working in Abu Dhabi, compliance with local regulations is not just an obligation but also a cornerstone of professional ethics.</w:t>
      </w:r>
    </w:p>
    <w:p>
      <w:pPr>
        <w:numPr>
          <w:ilvl w:val="0"/>
          <w:numId w:val="1001"/>
        </w:numPr>
        <w:pStyle w:val="Compact"/>
      </w:pPr>
      <w:r>
        <w:rPr>
          <w:bCs/>
          <w:b/>
        </w:rPr>
        <w:t xml:space="preserve">Licensing Requirements:</w:t>
      </w:r>
      <w:r>
        <w:t xml:space="preserve">All bankers must adhere to strict licensing procedures established by the Central Bank of the UAE. These ensure that only qualified individuals manage financial resources responsibly.</w:t>
      </w:r>
    </w:p>
    <w:p>
      <w:pPr>
        <w:numPr>
          <w:ilvl w:val="0"/>
          <w:numId w:val="1001"/>
        </w:numPr>
        <w:pStyle w:val="Compact"/>
      </w:pPr>
      <w:r>
        <w:rPr>
          <w:bCs/>
          <w:b/>
        </w:rPr>
        <w:t xml:space="preserve">Anti-Money Laundering (AML) Compliance:</w:t>
      </w:r>
      <w:r>
        <w:t xml:space="preserve">A strong emphasis is placed on AML measures, requiring</w:t>
      </w:r>
      <w:r>
        <w:t xml:space="preserve"> </w:t>
      </w:r>
      <w:r>
        <w:rPr>
          <w:bCs/>
          <w:b/>
        </w:rPr>
        <w:t xml:space="preserve">bankers</w:t>
      </w:r>
      <w:r>
        <w:t xml:space="preserve"> </w:t>
      </w:r>
      <w:r>
        <w:t xml:space="preserve">to conduct thorough due diligence when onboard new clients or processing transactions.</w:t>
      </w:r>
    </w:p>
    <w:p>
      <w:pPr>
        <w:numPr>
          <w:ilvl w:val="0"/>
          <w:numId w:val="1001"/>
        </w:numPr>
        <w:pStyle w:val="Compact"/>
      </w:pPr>
      <w:r>
        <w:rPr>
          <w:bCs/>
          <w:b/>
        </w:rPr>
        <w:t xml:space="preserve">Governance Standards:</w:t>
      </w:r>
      <w:r>
        <w:t xml:space="preserve">Institutions are expected to maintain high levels of corporate governance, ensuring transparency and accountability at every level.</w:t>
      </w:r>
    </w:p>
    <w:p>
      <w:pPr>
        <w:pStyle w:val="FirstParagraph"/>
      </w:pPr>
      <w:r>
        <w:t xml:space="preserve">These regulatory requirements reflect Abu Dhabi’s commitment to being a safe haven for international capital while safeguarding against systemic risks. The</w:t>
      </w:r>
      <w:r>
        <w:t xml:space="preserve"> </w:t>
      </w:r>
      <w:r>
        <w:rPr>
          <w:bCs/>
          <w:b/>
        </w:rPr>
        <w:t xml:space="preserve">banker</w:t>
      </w:r>
      <w:r>
        <w:t xml:space="preserve">, therefore, acts as both custodian and enforcer of these standards.</w:t>
      </w:r>
    </w:p>
    <w:bookmarkEnd w:id="22"/>
    <w:bookmarkStart w:id="23" w:name="X4b46ebffac7a184669a1e90c8f8e4dbbd31094c"/>
    <w:p>
      <w:pPr>
        <w:pStyle w:val="Heading2"/>
      </w:pPr>
      <w:r>
        <w:t xml:space="preserve">3. Digital Transformation and Innovation Led by Bankers</w:t>
      </w:r>
    </w:p>
    <w:p>
      <w:pPr>
        <w:pStyle w:val="FirstParagraph"/>
      </w:pPr>
      <w:r>
        <w:t xml:space="preserve">In recent years, Abu Dhabi has witnessed rapid advancements in fintech adoption across its banking sector. Modern</w:t>
      </w:r>
      <w:r>
        <w:t xml:space="preserve"> </w:t>
      </w:r>
      <w:r>
        <w:rPr>
          <w:bCs/>
          <w:b/>
        </w:rPr>
        <w:t xml:space="preserve">Bankers</w:t>
      </w:r>
      <w:r>
        <w:t xml:space="preserve"> </w:t>
      </w:r>
      <w:r>
        <w:t xml:space="preserve">are leveraging cutting-edge technologies such as artificial intelligence (AI), blockchain, and big data analytics to enhance customer experience and streamline operations.</w:t>
      </w:r>
    </w:p>
    <w:p>
      <w:pPr>
        <w:numPr>
          <w:ilvl w:val="0"/>
          <w:numId w:val="1002"/>
        </w:numPr>
        <w:pStyle w:val="Compact"/>
      </w:pPr>
      <w:r>
        <w:rPr>
          <w:bCs/>
          <w:b/>
        </w:rPr>
        <w:t xml:space="preserve">Digital Onboarding:</w:t>
      </w:r>
      <w:r>
        <w:t xml:space="preserve">Innovative solutions now allow new account opening processes to be completed entirely online, reducing wait times significantly.</w:t>
      </w:r>
    </w:p>
    <w:p>
      <w:pPr>
        <w:numPr>
          <w:ilvl w:val="0"/>
          <w:numId w:val="1002"/>
        </w:numPr>
        <w:pStyle w:val="Compact"/>
      </w:pPr>
      <w:r>
        <w:rPr>
          <w:bCs/>
          <w:b/>
        </w:rPr>
        <w:t xml:space="preserve">Personalized Services:</w:t>
      </w:r>
      <w:r>
        <w:t xml:space="preserve">Using AI-driven insights,</w:t>
      </w:r>
      <w:r>
        <w:t xml:space="preserve"> </w:t>
      </w:r>
      <w:r>
        <w:rPr>
          <w:bCs/>
          <w:b/>
        </w:rPr>
        <w:t xml:space="preserve">Bankers</w:t>
      </w:r>
      <w:r>
        <w:t xml:space="preserve"> </w:t>
      </w:r>
      <w:r>
        <w:t xml:space="preserve">can offer tailored advice based on individual spending patterns and financial goals.</w:t>
      </w:r>
    </w:p>
    <w:p>
      <w:pPr>
        <w:pStyle w:val="FirstParagraph"/>
      </w:pPr>
      <w:r>
        <w:t xml:space="preserve">This shift toward digitization requires</w:t>
      </w:r>
    </w:p>
    <w:p>
      <w:pPr>
        <w:pStyle w:val="BodyText"/>
      </w:pPr>
      <w:r>
        <w:t xml:space="preserve">Bankers to upskill continuously and stay abreast of emerging trends. Those who fail to adapt risk losing competitiveness in an increasingly crowded marketplace. Conversely, those embracing innovation position themselves as leaders in the industry.</w:t>
      </w:r>
    </w:p>
    <w:bookmarkEnd w:id="23"/>
    <w:bookmarkStart w:id="24" w:name="X4b3341271f7f5ce52dc28100f887c4377483b9f"/>
    <w:p>
      <w:pPr>
        <w:pStyle w:val="Heading2"/>
      </w:pPr>
      <w:r>
        <w:t xml:space="preserve">4.Sustainable Finance Initiatives Championed By Bankers</w:t>
      </w:r>
    </w:p>
    <w:p>
      <w:pPr>
        <w:pStyle w:val="FirstParagraph"/>
      </w:pPr>
      <w:r>
        <w:t xml:space="preserve">Sustainability has become a key priority for governments worldwide including Abu Dhabi which aims to transition toward greener economies through initiatives like “UAE Vision 2050.” In this context,</w:t>
      </w:r>
      <w:r>
        <w:t xml:space="preserve"> </w:t>
      </w:r>
      <w:r>
        <w:rPr>
          <w:bCs/>
          <w:b/>
        </w:rPr>
        <w:t xml:space="preserve">Bankers</w:t>
      </w:r>
      <w:r>
        <w:t xml:space="preserve"> </w:t>
      </w:r>
      <w:r>
        <w:t xml:space="preserve">play a critical part in channeling funds into environmentally friendly projects.</w:t>
      </w:r>
    </w:p>
    <w:p>
      <w:pPr>
        <w:numPr>
          <w:ilvl w:val="0"/>
          <w:numId w:val="1003"/>
        </w:numPr>
        <w:pStyle w:val="Compact"/>
      </w:pPr>
      <w:r>
        <w:rPr>
          <w:bCs/>
          <w:b/>
        </w:rPr>
        <w:t xml:space="preserve">Green Loans:</w:t>
      </w:r>
      <w:r>
        <w:t xml:space="preserve">Banks provide preferential loan terms for businesses engaged in renewable energy production or other eco-friendly ventures.</w:t>
      </w:r>
    </w:p>
    <w:p>
      <w:pPr>
        <w:numPr>
          <w:ilvl w:val="0"/>
          <w:numId w:val="1003"/>
        </w:numPr>
        <w:pStyle w:val="Compact"/>
      </w:pPr>
      <w:r>
        <w:t xml:space="preserve">Carbon Credit Trading Platforms: Some institutions facilitate trading platforms enabling companies to offset their carbon footprints effectively.</w:t>
      </w:r>
    </w:p>
    <w:p>
      <w:pPr>
        <w:pStyle w:val="FirstParagraph"/>
      </w:pPr>
      <w:r>
        <w:t xml:space="preserve">This trend reflects broader societal expectations where consumers demand ethical banking practices. As stewards of public trust,</w:t>
      </w:r>
      <w:r>
        <w:t xml:space="preserve"> </w:t>
      </w:r>
      <w:r>
        <w:rPr>
          <w:bCs/>
          <w:b/>
        </w:rPr>
        <w:t xml:space="preserve">Bankers</w:t>
      </w:r>
      <w:r>
        <w:t xml:space="preserve"> </w:t>
      </w:r>
      <w:r>
        <w:t xml:space="preserve">must demonstrate leadership in promoting sustainability without compromising profitability.</w:t>
      </w:r>
    </w:p>
    <w:bookmarkEnd w:id="24"/>
    <w:bookmarkStart w:id="25" w:name="challenges-faced-by-bankers-in-abu-dhabi"/>
    <w:p>
      <w:pPr>
        <w:pStyle w:val="Heading2"/>
      </w:pPr>
      <w:r>
        <w:t xml:space="preserve">5.Challenges Faced By Bankers In Abu Dhabi</w:t>
      </w:r>
    </w:p>
    <w:p>
      <w:pPr>
        <w:numPr>
          <w:ilvl w:val="0"/>
          <w:numId w:val="1004"/>
        </w:numPr>
        <w:pStyle w:val="Compact"/>
      </w:pPr>
      <w:r>
        <w:t xml:space="preserve">Economic Volatility: Fluctuations in oil prices impact overall economic conditions affecting demand for credit among other factors.</w:t>
      </w:r>
    </w:p>
    <w:p>
      <w:pPr>
        <w:numPr>
          <w:ilvl w:val="0"/>
          <w:numId w:val="1004"/>
        </w:numPr>
        <w:pStyle w:val="Compact"/>
      </w:pPr>
      <w:r>
        <w:t xml:space="preserve">Competition From Fintech Startups: Traditional banks face stiff competition from agile tech firms offering faster service delivery often at lower costs.</w:t>
      </w:r>
    </w:p>
    <w:p>
      <w:pPr>
        <w:pStyle w:val="FirstParagraph"/>
      </w:pPr>
      <w:r>
        <w:t xml:space="preserve">Addressing these challenges necessitates collaboration between policymakers industry stakeholders and individual</w:t>
      </w:r>
    </w:p>
    <w:p>
      <w:pPr>
        <w:pStyle w:val="BodyText"/>
      </w:pPr>
      <w:r>
        <w:t xml:space="preserve">Bankers. Open dialogue fosters understanding leading to better outcomes for everyone involved.</w:t>
      </w:r>
    </w:p>
    <w:bookmarkEnd w:id="25"/>
    <w:bookmarkStart w:id="26" w:name="conclusion"/>
    <w:p>
      <w:pPr>
        <w:pStyle w:val="Heading2"/>
      </w:pPr>
      <w:r>
        <w:t xml:space="preserve">6. Conclusion</w:t>
      </w:r>
    </w:p>
    <w:p>
      <w:pPr>
        <w:pStyle w:val="FirstParagraph"/>
      </w:pPr>
      <w:r>
        <w:t xml:space="preserve">The role of the</w:t>
      </w:r>
    </w:p>
    <w:p>
      <w:pPr>
        <w:pStyle w:val="BodyText"/>
      </w:pPr>
      <w:r>
        <w:t xml:space="preserve">BANKER in Abu Dhabi continues to evolve amidst changing circumstances. With strong regulatory support robust technological infrastructure and growing emphasis on sustainability future prospects look promising indeed! However it is imperative that all parties work together towards achieving shared objectives if we wish realize potential fully.</w:t>
      </w:r>
    </w:p>
    <w:bookmarkEnd w:id="26"/>
    <w:bookmarkStart w:id="27" w:name="references"/>
    <w:p>
      <w:pPr>
        <w:pStyle w:val="Heading2"/>
      </w:pPr>
      <w:r>
        <w:t xml:space="preserve">References</w:t>
      </w:r>
    </w:p>
    <w:p>
      <w:pPr>
        <w:numPr>
          <w:ilvl w:val="0"/>
          <w:numId w:val="1005"/>
        </w:numPr>
        <w:pStyle w:val="Compact"/>
      </w:pPr>
      <w:r>
        <w:t xml:space="preserve">Central Bank of UAE Annual Report (2023).</w:t>
      </w:r>
    </w:p>
    <w:p>
      <w:pPr>
        <w:numPr>
          <w:ilvl w:val="0"/>
          <w:numId w:val="1005"/>
        </w:numPr>
        <w:pStyle w:val="Compact"/>
      </w:pPr>
      <w:r>
        <w:t xml:space="preserve">"Digital Transformation Trends in Middle Eastern Banking," Journal of Financial Technology, Vol. 14 Issue 3 Pages 56-78.</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the Economic Landscape of United Arab Emirates Abu Dhabi</dc:title>
  <dc:creator/>
  <dc:language>en</dc:language>
  <cp:keywords/>
  <dcterms:created xsi:type="dcterms:W3CDTF">2026-07-30T07:12:28Z</dcterms:created>
  <dcterms:modified xsi:type="dcterms:W3CDTF">2026-07-30T07:12:28Z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