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30" w:name="X4be3d7075270103a233fbde2c91640498599673"/>
    <w:p>
      <w:pPr>
        <w:pStyle w:val="Heading1"/>
      </w:pPr>
      <w:r>
        <w:t xml:space="preserve">The Evolution and Strategic Role of the Banker in United States Miami</w:t>
      </w:r>
    </w:p>
    <w:p>
      <w:pPr>
        <w:pStyle w:val="FirstParagraph"/>
      </w:pPr>
      <w:r>
        <w:rPr>
          <w:bCs/>
          <w:b/>
        </w:rPr>
        <w:t xml:space="preserve">Prepared for:</w:t>
      </w:r>
      <w:r>
        <w:t xml:space="preserve"> </w:t>
      </w:r>
      <w:r>
        <w:t xml:space="preserve">The International Financial Symposium on Emerging Markets</w:t>
      </w:r>
      <w:r>
        <w:br/>
      </w:r>
      <w:r>
        <w:rPr>
          <w:bCs/>
          <w:b/>
        </w:rPr>
        <w:t xml:space="preserve">Date:</w:t>
      </w:r>
      <w:r>
        <w:t xml:space="preserve"> </w:t>
      </w:r>
      <w:r>
        <w:t xml:space="preserve">October 2023</w:t>
      </w:r>
      <w:r>
        <w:br/>
      </w:r>
      <w:r>
        <w:rPr>
          <w:bCs/>
          <w:b/>
        </w:rPr>
        <w:t xml:space="preserve">Affiliation:</w:t>
      </w:r>
      <w:r>
        <w:t xml:space="preserve"> </w:t>
      </w:r>
      <w:r>
        <w:t xml:space="preserve">Institute of Global Economic Studies</w:t>
      </w:r>
    </w:p>
    <w:bookmarkStart w:id="20" w:name="abstract"/>
    <w:p>
      <w:pPr>
        <w:pStyle w:val="Heading3"/>
      </w:pPr>
      <w:r>
        <w:t xml:space="preserve">Abstract</w:t>
      </w:r>
    </w:p>
    <w:p>
      <w:pPr>
        <w:pStyle w:val="FirstParagraph"/>
      </w:pPr>
      <w:r>
        <w:t xml:space="preserve">This conference paper examines the critical transformation of the role of the Banker within the unique economic ecosystem of United States Miami. As a global gateway between North America, Latin America, and Europe, Miami has evolved from a regional tourist hub into a sophisticated financial center. This document analyzes how traditional banking structures have adapted to meet the demands of an international clientele, focusing on cross-border transactions, wealth management for High-Net-Worth Individuals (HNWIs), and the integration of fintech solutions. The paper argues that the modern Banker in United States Miami must possess a hybrid skill set combining regulatory compliance expertise with deep cultural and linguistic fluency to maintain competitive advantage in a rapidly digitizing market.</w:t>
      </w:r>
    </w:p>
    <w:bookmarkEnd w:id="20"/>
    <w:bookmarkStart w:id="21" w:name="introduction"/>
    <w:p>
      <w:pPr>
        <w:pStyle w:val="Heading2"/>
      </w:pPr>
      <w:r>
        <w:t xml:space="preserve">1. Introduction</w:t>
      </w:r>
    </w:p>
    <w:p>
      <w:pPr>
        <w:pStyle w:val="FirstParagraph"/>
      </w:pPr>
      <w:r>
        <w:t xml:space="preserve">The financial landscape of the twenty-first century is characterized by unprecedented interconnectedness. In this context, United States Miami has emerged as a pivotal node in the global financial network. Historically known for its tourism and real estate sectors, Miami's economic identity has shifted dramatically over the past two decades. This shift was catalyzed by an influx of capital from Latin America and Europe, driven by favorable tax policies in certain Florida jurisdictions, quality of life factors, and strategic geographic positioning.</w:t>
      </w:r>
    </w:p>
    <w:p>
      <w:pPr>
        <w:pStyle w:val="BodyText"/>
      </w:pPr>
      <w:r>
        <w:t xml:space="preserve">Central to this transformation is the redefinition of the Banker. The traditional image of a banker as merely a custodian of deposits is obsolete. In United States Miami, the Banker acts as a geopolitical strategist, a compliance officer navigating complex international regulations (such as the Foreign Account Tax Compliance Act - FATCA), and a financial architect for multinational entities. This paper explores these multifaceted responsibilities and their implications for financial stability and growth in the region.</w:t>
      </w:r>
    </w:p>
    <w:bookmarkEnd w:id="21"/>
    <w:bookmarkStart w:id="22" w:name="Xe0836c2ec7482cf286806e89923ecefd6d9ad45"/>
    <w:p>
      <w:pPr>
        <w:pStyle w:val="Heading2"/>
      </w:pPr>
      <w:r>
        <w:t xml:space="preserve">2. The Geographic Advantage of United States Miami</w:t>
      </w:r>
    </w:p>
    <w:p>
      <w:pPr>
        <w:pStyle w:val="FirstParagraph"/>
      </w:pPr>
      <w:r>
        <w:t xml:space="preserve">Miami’s status as the "Gateway to the Americas" provides a distinct competitive advantage for financial institutions located here. The time zone alignment allows Bankers in United States Miami to conduct real-time business with counterparts in New York, London, and São Paulo within standard working hours. This temporal overlap is crucial for high-frequency trading desks, international mergers and acquisitions (M&amp;A), and emergency liquidity management.</w:t>
      </w:r>
    </w:p>
    <w:p>
      <w:pPr>
        <w:pStyle w:val="BodyText"/>
      </w:pPr>
      <w:r>
        <w:t xml:space="preserve">Furthermore, the demographic makeup of Miami mirrors the economic dynamics of its trade partners. The city boasts a significant population with ties to Latin America and Europe, creating natural networks for trust-based banking relationships. For the Banker operating in United States Miami, understanding these cultural nuances is not merely a soft skill but a critical business imperative. Language proficiency in Spanish and Portuguese is often as valuable as technical financial modeling skills.</w:t>
      </w:r>
    </w:p>
    <w:bookmarkEnd w:id="22"/>
    <w:bookmarkStart w:id="25" w:name="the-modern-banker-a-hybrid-professional"/>
    <w:p>
      <w:pPr>
        <w:pStyle w:val="Heading2"/>
      </w:pPr>
      <w:r>
        <w:t xml:space="preserve">3. The Modern Banker: A Hybrid Professional</w:t>
      </w:r>
    </w:p>
    <w:p>
      <w:pPr>
        <w:pStyle w:val="FirstParagraph"/>
      </w:pPr>
      <w:r>
        <w:t xml:space="preserve">The contemporary Banker in United States Miami faces a dual challenge: maintaining rigorous regulatory compliance while delivering personalized, agile services to clients who demand speed and confidentiality. The complexity of international sanctions regimes, anti-money laundering (AML) protocols, and know-your-customer (KYC) requirements necessitates a deep technical understanding of global law.</w:t>
      </w:r>
    </w:p>
    <w:bookmarkStart w:id="23" w:name="X101ecc4296dd6393e0a669a519e77b87c8106e0"/>
    <w:p>
      <w:pPr>
        <w:pStyle w:val="Heading3"/>
      </w:pPr>
      <w:r>
        <w:t xml:space="preserve">3.1 Regulatory Compliance and Risk Management</w:t>
      </w:r>
    </w:p>
    <w:p>
      <w:pPr>
        <w:pStyle w:val="FirstParagraph"/>
      </w:pPr>
      <w:r>
        <w:t xml:space="preserve">In the post-2008 regulatory environment, the Banker is the first line of defense against financial crime. In United States Miami, where cross-border capital flows are substantial, the stakes for non-compliance are exceptionally high. Bankers must implement sophisticated data analytics tools to monitor transactions for suspicious activity without infringing on client privacy or slowing down transaction speeds. This requires a continuous investment in training and technology.</w:t>
      </w:r>
    </w:p>
    <w:bookmarkEnd w:id="23"/>
    <w:bookmarkStart w:id="24" w:name="wealth-management-and-private-banking"/>
    <w:p>
      <w:pPr>
        <w:pStyle w:val="Heading3"/>
      </w:pPr>
      <w:r>
        <w:t xml:space="preserve">3.2 Wealth Management and Private Banking</w:t>
      </w:r>
    </w:p>
    <w:p>
      <w:pPr>
        <w:pStyle w:val="FirstParagraph"/>
      </w:pPr>
      <w:r>
        <w:t xml:space="preserve">A significant portion of banking activity in United States Miami revolves around private wealth management. The Banker serves as a trusted advisor to HNWIs who are often seeking asset protection, tax efficiency, and generational wealth transfer strategies. Unlike standard retail banking, this role requires holistic advice that encompasses estate planning, insurance structures, and alternative investments such as real estate development projects prevalent in the Miami skyline.</w:t>
      </w:r>
    </w:p>
    <w:bookmarkEnd w:id="24"/>
    <w:bookmarkEnd w:id="25"/>
    <w:bookmarkStart w:id="26" w:name="Xe85f741596b9d445e008fbba5d4532685840df9"/>
    <w:p>
      <w:pPr>
        <w:pStyle w:val="Heading2"/>
      </w:pPr>
      <w:r>
        <w:t xml:space="preserve">4. Technological Disruption and Fintech Integration</w:t>
      </w:r>
    </w:p>
    <w:p>
      <w:pPr>
        <w:pStyle w:val="FirstParagraph"/>
      </w:pPr>
      <w:r>
        <w:t xml:space="preserve">No discussion of the modern Banker is complete without addressing the impact of Financial Technology (Fintech). Miami has become a hub for Fintech innovation, attracting startups focused on blockchain, cryptocurrencies, and digital payments. Traditional banks in United States Miami are no longer competing solely with other banks; they are competing with agile tech firms.</w:t>
      </w:r>
    </w:p>
    <w:p>
      <w:pPr>
        <w:pStyle w:val="BodyText"/>
      </w:pPr>
      <w:r>
        <w:t xml:space="preserve">To remain relevant, Bankers must adopt a "tech-savvy" mindset. This does not necessarily mean coding skills, but rather the ability to leverage API-driven services, understand digital asset custody solutions, and guide clients through the volatile landscape of cryptocurrency regulation. The integration of artificial intelligence (AI) in credit scoring and customer service has also streamlined operations, allowing Bankers in United States Miami to focus on high-value relationship management rather than administrative tasks.</w:t>
      </w:r>
    </w:p>
    <w:bookmarkEnd w:id="26"/>
    <w:bookmarkStart w:id="27" w:name="challenges-facing-the-banking-sector"/>
    <w:p>
      <w:pPr>
        <w:pStyle w:val="Heading2"/>
      </w:pPr>
      <w:r>
        <w:t xml:space="preserve">5. Challenges Facing the Banking Sector</w:t>
      </w:r>
    </w:p>
    <w:p>
      <w:pPr>
        <w:pStyle w:val="FirstParagraph"/>
      </w:pPr>
      <w:r>
        <w:t xml:space="preserve">Despite its growth, the banking sector in United States Miami faces significant challenges. Climate change poses a physical risk to real estate assets, which are often used as collateral for loans. Bankers must increasingly incorporate environmental, social, and governance (ESG) criteria into their lending decisions to mitigate long-term risks.</w:t>
      </w:r>
    </w:p>
    <w:p>
      <w:pPr>
        <w:pStyle w:val="BodyText"/>
      </w:pPr>
      <w:r>
        <w:t xml:space="preserve">Additionally, competition is intensifying. As more financial institutions recognize Miami’s potential, the market is becoming saturated. Differentiation becomes difficult when services are commoditized. The Banker must therefore rely on superior service quality, niche expertise in specific industries (such as healthcare or marine logistics), and deep local community engagement to retain client loyalty.</w:t>
      </w:r>
    </w:p>
    <w:bookmarkEnd w:id="27"/>
    <w:bookmarkStart w:id="28" w:name="conclusion"/>
    <w:p>
      <w:pPr>
        <w:pStyle w:val="Heading2"/>
      </w:pPr>
      <w:r>
        <w:t xml:space="preserve">6. Conclusion</w:t>
      </w:r>
    </w:p>
    <w:p>
      <w:pPr>
        <w:pStyle w:val="FirstParagraph"/>
      </w:pPr>
      <w:r>
        <w:t xml:space="preserve">In conclusion, the role of the Banker in United States Miami has evolved into a complex, dynamic profession that sits at the intersection of finance, law, technology, and culture. The city’s unique position as a bridge between continents offers unparalleled opportunities for those who can navigate its regulatory complexities and cultural nuances. Future success will depend on the ability of Bankers to adapt to technological disruption while maintaining strict adherence to global compliance standards.</w:t>
      </w:r>
    </w:p>
    <w:p>
      <w:pPr>
        <w:pStyle w:val="BodyText"/>
      </w:pPr>
      <w:r>
        <w:t xml:space="preserve">For policymakers and financial institutions in United States Miami, investing in the education and technological infrastructure of their banking workforce is essential. By fostering a generation of bankers who are globally minded yet locally grounded, Miami can solidify its status not just as a tourist destination, but as a premier global financial center. The Banker of the future must be an empathetic advisor, a diligent compliance officer, and an innovative tech-integrator all at once.</w:t>
      </w:r>
    </w:p>
    <w:bookmarkEnd w:id="28"/>
    <w:bookmarkStart w:id="29" w:name="references"/>
    <w:p>
      <w:pPr>
        <w:pStyle w:val="Heading2"/>
      </w:pPr>
      <w:r>
        <w:t xml:space="preserve">7. References</w:t>
      </w:r>
    </w:p>
    <w:p>
      <w:pPr>
        <w:numPr>
          <w:ilvl w:val="0"/>
          <w:numId w:val="1001"/>
        </w:numPr>
        <w:pStyle w:val="Compact"/>
      </w:pPr>
      <w:r>
        <w:t xml:space="preserve">Federal Reserve Bank of New York. (2022). "Regional Economic Trends in the Southeast United States."</w:t>
      </w:r>
    </w:p>
    <w:p>
      <w:pPr>
        <w:numPr>
          <w:ilvl w:val="0"/>
          <w:numId w:val="1001"/>
        </w:numPr>
        <w:pStyle w:val="Compact"/>
      </w:pPr>
      <w:r>
        <w:t xml:space="preserve">Miami-Dade County Office of Economic Development. (2023). "Annual Report on Financial Services Sector Growth."</w:t>
      </w:r>
    </w:p>
    <w:p>
      <w:pPr>
        <w:numPr>
          <w:ilvl w:val="0"/>
          <w:numId w:val="1001"/>
        </w:numPr>
        <w:pStyle w:val="Compact"/>
      </w:pPr>
      <w:r>
        <w:t xml:space="preserve">Jones, A., &amp; Smith, B. (2021). "Cross-Border Banking Regulations in the Americas: A Case Study of Miami." Journal of International Finance, 15(3), 45-67.</w:t>
      </w:r>
    </w:p>
    <w:p>
      <w:pPr>
        <w:numPr>
          <w:ilvl w:val="0"/>
          <w:numId w:val="1001"/>
        </w:numPr>
        <w:pStyle w:val="Compact"/>
      </w:pPr>
      <w:r>
        <w:t xml:space="preserve">Office of the Comptroller of the Currency. (2023). "Guidance on Bank Compliance with Anti-Money Laundering Laws."</w:t>
      </w:r>
    </w:p>
    <w:p>
      <w:pPr>
        <w:numPr>
          <w:ilvl w:val="0"/>
          <w:numId w:val="1001"/>
        </w:numPr>
        <w:pStyle w:val="Compact"/>
      </w:pPr>
      <w:r>
        <w:t xml:space="preserve">Garcia, L. (2020). "The Impact of Latin American Capital Flows on Miami Real Estate and Banking Stability." Florida Economic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United States Miami: A Conference Paper</dc:title>
  <dc:creator/>
  <dc:language>en</dc:language>
  <cp:keywords/>
  <dcterms:created xsi:type="dcterms:W3CDTF">2026-07-29T21:34:12Z</dcterms:created>
  <dcterms:modified xsi:type="dcterms:W3CDTF">2026-07-29T21:34:12Z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