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Strategic</w:t>
      </w:r>
      <w:r>
        <w:t xml:space="preserve"> </w:t>
      </w:r>
      <w:r>
        <w:t xml:space="preserve">Evolution</w:t>
      </w:r>
      <w:r>
        <w:t xml:space="preserve"> </w:t>
      </w:r>
      <w:r>
        <w:t xml:space="preserve">in</w:t>
      </w:r>
      <w:r>
        <w:t xml:space="preserve"> </w:t>
      </w:r>
      <w:r>
        <w:t xml:space="preserve">Uzbekistan</w:t>
      </w:r>
      <w:r>
        <w:t xml:space="preserve"> </w:t>
      </w:r>
      <w:r>
        <w:t xml:space="preserve">Tashkent</w:t>
      </w:r>
    </w:p>
    <w:bookmarkStart w:id="30" w:name="X059dc7a1e992c84585cbe573d1828d76ae075ba"/>
    <w:p>
      <w:pPr>
        <w:pStyle w:val="Heading1"/>
      </w:pPr>
      <w:r>
        <w:t xml:space="preserve">The Modern Banker: Strategic Evolution in Uzbekistan Tashkent</w:t>
      </w:r>
    </w:p>
    <w:p>
      <w:pPr>
        <w:pStyle w:val="FirstParagraph"/>
      </w:pPr>
      <w:r>
        <w:t xml:space="preserve">Conference Paper Submitted for the International Summit on Central Asian Economic Development</w:t>
      </w:r>
      <w:r>
        <w:br/>
      </w:r>
      <w:r>
        <w:t xml:space="preserve">Tashkent, Uzbekistan</w:t>
      </w:r>
      <w:r>
        <w:br/>
      </w:r>
      <w:r>
        <w:t xml:space="preserve">Date: October 2023</w:t>
      </w:r>
    </w:p>
    <w:p>
      <w:r>
        <w:pict>
          <v:rect style="width:0;height:1.5pt" o:hralign="center" o:hrstd="t" o:hr="t"/>
        </w:pict>
      </w:r>
    </w:p>
    <w:bookmarkStart w:id="20" w:name="abstract"/>
    <w:p>
      <w:pPr>
        <w:pStyle w:val="Heading2"/>
      </w:pPr>
      <w:r>
        <w:t xml:space="preserve">Abstract</w:t>
      </w:r>
    </w:p>
    <w:p>
      <w:pPr>
        <w:pStyle w:val="FirstParagraph"/>
      </w:pPr>
      <w:r>
        <w:t xml:space="preserve">This paper examines the profound transformation of the financial sector in Central Asia, with a specific focus on the pivotal role of the modern banker within the dynamic economic landscape of Uzbekistan Tashkent. As Uzbekistan accelerates its integration into global markets, Tashkent has emerged as a burgeoning financial hub. This study analyzes how traditional banking models are being supplanted by digital-first strategies and customer-centric approaches. We argue that for sustainable growth, the banker in this region must evolve from a mere custodian of capital to a strategic advisor and technological innovator. By examining regulatory changes, fintech adoption, and socio-economic shifts in Tashkent, we provide a roadmap for financial institutions aiming to thrive in this competitive environment.</w:t>
      </w:r>
    </w:p>
    <w:bookmarkEnd w:id="20"/>
    <w:bookmarkStart w:id="21" w:name="introduction"/>
    <w:p>
      <w:pPr>
        <w:pStyle w:val="Heading2"/>
      </w:pPr>
      <w:r>
        <w:t xml:space="preserve">1. Introduction</w:t>
      </w:r>
    </w:p>
    <w:p>
      <w:pPr>
        <w:pStyle w:val="FirstParagraph"/>
      </w:pPr>
      <w:r>
        <w:t xml:space="preserve">The economic history of Central Asia has been marked by periods of isolation followed by rapid liberalization. In recent years, the Republic of Uzbekistan has embarked on a path of ambitious reforms aimed at stabilizing its economy and attracting foreign direct investment. At the heart of this transformation lies the banking sector, which serves as the engine for capital allocation and economic stability. Within this context, Tashkent is not merely a geographic location; it is becoming synonymous with financial modernization in the region.</w:t>
      </w:r>
    </w:p>
    <w:p>
      <w:pPr>
        <w:pStyle w:val="BodyText"/>
      </w:pPr>
      <w:r>
        <w:t xml:space="preserve">The role of the banker has historically been defined by risk assessment, liquidity management, and regulatory compliance. However, in today’s hyper-connected economy, particularly within emerging markets like Uzbekistan Tashkent, these functions are insufficient. The modern banker must navigate a complex web of digital technologies shifting consumer expectations and evolving geopolitical dynamics. This paper explores the multifaceted duties of the contemporary banker operating in this unique ecosystem.</w:t>
      </w:r>
    </w:p>
    <w:bookmarkEnd w:id="21"/>
    <w:bookmarkStart w:id="22" w:name="X9e728f480fc2d28c90b86848d3ccc0d0c016c9f"/>
    <w:p>
      <w:pPr>
        <w:pStyle w:val="Heading2"/>
      </w:pPr>
      <w:r>
        <w:t xml:space="preserve">2. The Economic Context of Uzbekistan Tashkent</w:t>
      </w:r>
    </w:p>
    <w:p>
      <w:pPr>
        <w:pStyle w:val="FirstParagraph"/>
      </w:pPr>
      <w:r>
        <w:t xml:space="preserve">Tashkent has long been the political and administrative center of Uzbekistan, but its status as an economic powerhouse is accelerating. With a population exceeding three million people and a young demographic profile, the city presents immense opportunities for retail banking, microfinance, and consumer credit. The government’s commitment to liberalizing foreign exchange regulations and encouraging private sector development has created fertile ground for financial innovation.</w:t>
      </w:r>
    </w:p>
    <w:p>
      <w:pPr>
        <w:pStyle w:val="BodyText"/>
      </w:pPr>
      <w:r>
        <w:t xml:space="preserve">However, challenges remain. Infrastructure gaps in rural areas contrast sharply with the high-speed digital infrastructure developing in Tashkent’s business districts. Furthermore, while cash usage was historically dominant, there is a rapid shift toward contactless payments and mobile banking applications. For institutions operating in Uzbekistan Tashkent, understanding this dichotomy between traditional preferences and modern necessities is crucial for strategic planning.</w:t>
      </w:r>
    </w:p>
    <w:bookmarkEnd w:id="22"/>
    <w:bookmarkStart w:id="23" w:name="X7269ec51d032ac4a7f8fa496a4ec14e946cbf5c"/>
    <w:p>
      <w:pPr>
        <w:pStyle w:val="Heading2"/>
      </w:pPr>
      <w:r>
        <w:t xml:space="preserve">3. The Evolution of the Banker: From Custodian to Catalyst</w:t>
      </w:r>
    </w:p>
    <w:p>
      <w:pPr>
        <w:pStyle w:val="FirstParagraph"/>
      </w:pPr>
      <w:r>
        <w:t xml:space="preserve">The traditional image of the banker—clad in a suit, sitting behind a high desk—is rapidly becoming obsolete. In Tashkent, as in other global financial centers, the value proposition is shifting. The modern banker acts as a catalyst for business growth rather than just a provider of loans. This shift is driven by several factors:</w:t>
      </w:r>
    </w:p>
    <w:p>
      <w:pPr>
        <w:pStyle w:val="BodyText"/>
      </w:pPr>
      <w:r>
        <w:rPr>
          <w:bCs/>
          <w:b/>
        </w:rPr>
        <w:t xml:space="preserve">a) Digital Transformation:</w:t>
      </w:r>
      <w:r>
        <w:t xml:space="preserve"> </w:t>
      </w:r>
      <w:r>
        <w:t xml:space="preserve">The adoption of artificial intelligence and big data analytics allows bankers in Tashkent to offer personalized financial products. Credit scoring algorithms now analyze alternative data sources, enabling the extension of credit to underserved populations who lack traditional collateral. This inclusivity is vital for the broader economic development of Uzbekistan.</w:t>
      </w:r>
    </w:p>
    <w:p>
      <w:pPr>
        <w:pStyle w:val="BodyText"/>
      </w:pPr>
      <w:r>
        <w:rPr>
          <w:bCs/>
          <w:b/>
        </w:rPr>
        <w:t xml:space="preserve">b) Advisory Services:</w:t>
      </w:r>
      <w:r>
        <w:t xml:space="preserve"> </w:t>
      </w:r>
      <w:r>
        <w:t xml:space="preserve">As small and medium-sized enterprises (SMEs) grow, they require more than capital; they need strategic guidance on tax efficiency, international expansion, and risk management. Bankers who can provide these holistic services build deeper client relationships and enhance their competitive edge.</w:t>
      </w:r>
    </w:p>
    <w:p>
      <w:pPr>
        <w:pStyle w:val="BodyText"/>
      </w:pPr>
      <w:r>
        <w:rPr>
          <w:bCs/>
          <w:b/>
        </w:rPr>
        <w:t xml:space="preserve">c) Sustainability Focus:</w:t>
      </w:r>
      <w:r>
        <w:t xml:space="preserve"> </w:t>
      </w:r>
      <w:r>
        <w:t xml:space="preserve">Global trends are influencing local practices. There is a growing emphasis on green financing within Uzbekistan Tashkent. The modern banker is increasingly tasked with evaluating environmental, social, and governance (ESG) criteria in investment decisions. This aligns with national goals to reduce carbon emissions and promote sustainable agriculture.</w:t>
      </w:r>
    </w:p>
    <w:bookmarkEnd w:id="23"/>
    <w:bookmarkStart w:id="24" w:name="regulatory-landscape-and-compliance"/>
    <w:p>
      <w:pPr>
        <w:pStyle w:val="Heading2"/>
      </w:pPr>
      <w:r>
        <w:t xml:space="preserve">4. Regulatory Landscape and Compliance</w:t>
      </w:r>
    </w:p>
    <w:p>
      <w:pPr>
        <w:pStyle w:val="FirstParagraph"/>
      </w:pPr>
      <w:r>
        <w:t xml:space="preserve">The National Bank of Uzbekistan has undertaken significant reforms to enhance transparency and stability in the financial system. For the banker, this means a heightened responsibility toward regulatory compliance. Anti-money laundering (AML) and counter-terrorism financing (CFT) regulations have been tightened to meet international standards.</w:t>
      </w:r>
    </w:p>
    <w:p>
      <w:pPr>
        <w:pStyle w:val="BodyText"/>
      </w:pPr>
      <w:r>
        <w:t xml:space="preserve">In Tashkent, banks are investing heavily in Know Your Customer (KYC) technologies to streamline onboarding processes while maintaining rigorous security protocols. The banker must possess a deep understanding of these regulatory frameworks, ensuring that innovation does not come at the cost of systemic risk. Effective compliance is no longer just a legal obligation but a competitive advantage that builds trust among international partners.</w:t>
      </w:r>
    </w:p>
    <w:bookmarkEnd w:id="24"/>
    <w:bookmarkStart w:id="25" w:name="fintech-collaboration-and-innovation"/>
    <w:p>
      <w:pPr>
        <w:pStyle w:val="Heading2"/>
      </w:pPr>
      <w:r>
        <w:t xml:space="preserve">5. Fintech Collaboration and Innovation</w:t>
      </w:r>
    </w:p>
    <w:p>
      <w:pPr>
        <w:pStyle w:val="FirstParagraph"/>
      </w:pPr>
      <w:r>
        <w:t xml:space="preserve">The rise of fintech companies in Uzbekistan has forced traditional banks to rethink their operational models. Rather than viewing these startups as competitors, forward-thinking bankers are embracing collaboration. In Tashkent, numerous partnerships have been formed between established banks and agile fintech firms to improve payment systems, enhance mobile user experiences, and offer blockchain-based solutions for cross-border transactions.</w:t>
      </w:r>
    </w:p>
    <w:p>
      <w:pPr>
        <w:pStyle w:val="BodyText"/>
      </w:pPr>
      <w:r>
        <w:t xml:space="preserve">This symbiotic relationship allows traditional banks to leverage the technological expertise of fintechs while providing them with regulatory legitimacy and access to a broad customer base. The banker’s role in this ecosystem involves managing these partnerships, integrating new technologies into legacy systems, and ensuring seamless service delivery to customers.</w:t>
      </w:r>
    </w:p>
    <w:bookmarkEnd w:id="25"/>
    <w:bookmarkStart w:id="26" w:name="human-capital-and-cultural-adaptation"/>
    <w:p>
      <w:pPr>
        <w:pStyle w:val="Heading2"/>
      </w:pPr>
      <w:r>
        <w:t xml:space="preserve">6. Human Capital and Cultural Adaptation</w:t>
      </w:r>
    </w:p>
    <w:p>
      <w:pPr>
        <w:pStyle w:val="FirstParagraph"/>
      </w:pPr>
      <w:r>
        <w:t xml:space="preserve">Techology alone cannot drive the transformation of the banking sector; human capital is equally important. Uzbekistan Tashkent is investing in education to create a workforce capable of meeting the demands of a modern financial industry. Universities and professional training centers are updating their curricula to include data science, cybersecurity, and behavioral finance.</w:t>
      </w:r>
    </w:p>
    <w:p>
      <w:pPr>
        <w:pStyle w:val="BodyText"/>
      </w:pPr>
      <w:r>
        <w:t xml:space="preserve">The banker must also be culturally attuned. Understanding local customs, languages (such as Uzbek and Russian), and business etiquette is essential for success in Tashkent. Trust is a foundational element of banking relationships in Central Asian cultures. Bankers who demonstrate respect for local traditions while introducing modern practices are more likely to succeed.</w:t>
      </w:r>
    </w:p>
    <w:bookmarkEnd w:id="26"/>
    <w:bookmarkStart w:id="27" w:name="challenges-and-future-outlook"/>
    <w:p>
      <w:pPr>
        <w:pStyle w:val="Heading2"/>
      </w:pPr>
      <w:r>
        <w:t xml:space="preserve">7. Challenges and Future Outlook</w:t>
      </w:r>
    </w:p>
    <w:p>
      <w:pPr>
        <w:pStyle w:val="FirstParagraph"/>
      </w:pPr>
      <w:r>
        <w:t xml:space="preserve">Despite the progress made, the sector faces significant challenges. Cybersecurity threats pose a constant risk to digital banking platforms in Tashkent. Additionally, economic volatility and global market fluctuations can impact investor confidence. There is also the challenge of bridging the digital divide between urban centers like Tashkent and rural regions.</w:t>
      </w:r>
    </w:p>
    <w:p>
      <w:pPr>
        <w:pStyle w:val="BodyText"/>
      </w:pPr>
      <w:r>
        <w:t xml:space="preserve">Looking ahead, the banker who thrives will be one who embraces continuous learning and adaptability. The future of banking in Uzbekistan lies in creating inclusive, sustainable, and technologically advanced financial ecosystems. As Tashkent continues to grow as a regional hub, its bankers will play a critical role in shaping the economic destiny of the nation.</w:t>
      </w:r>
    </w:p>
    <w:bookmarkEnd w:id="27"/>
    <w:bookmarkStart w:id="28" w:name="conclusion"/>
    <w:p>
      <w:pPr>
        <w:pStyle w:val="Heading2"/>
      </w:pPr>
      <w:r>
        <w:t xml:space="preserve">8. Conclusion</w:t>
      </w:r>
    </w:p>
    <w:p>
      <w:pPr>
        <w:pStyle w:val="FirstParagraph"/>
      </w:pPr>
      <w:r>
        <w:t xml:space="preserve">In conclusion, the evolution of the banker in Uzbekistan Tashkent represents a microcosm of broader global trends in finance. The transition from traditional custodianship to strategic advisory and technological innovation is not just a trend but a necessity for survival and growth. By leveraging digital tools, adhering to robust regulatory standards, fostering fintech partnerships, and respecting cultural nuances, the modern banker can drive significant economic value.</w:t>
      </w:r>
    </w:p>
    <w:p>
      <w:pPr>
        <w:pStyle w:val="BodyText"/>
      </w:pPr>
      <w:r>
        <w:t xml:space="preserve">For policymakers and financial leaders in Tashkent, supporting this transformation through education infrastructure and regulatory frameworks is paramount. As Uzbekistan moves forward on its path of development, the banker remains a central figure in facilitating trade, encouraging investment, and improving the quality of life for citizens. The story of the banker in Uzbekistan Tashkent is one of resilience, innovation, and promise.</w:t>
      </w:r>
    </w:p>
    <w:p>
      <w:r>
        <w:pict>
          <v:rect style="width:0;height:1.5pt" o:hralign="center" o:hrstd="t" o:hr="t"/>
        </w:pict>
      </w:r>
    </w:p>
    <w:bookmarkEnd w:id="28"/>
    <w:bookmarkStart w:id="29" w:name="references"/>
    <w:p>
      <w:pPr>
        <w:pStyle w:val="Heading2"/>
      </w:pPr>
      <w:r>
        <w:t xml:space="preserve">References</w:t>
      </w:r>
    </w:p>
    <w:p>
      <w:pPr>
        <w:numPr>
          <w:ilvl w:val="0"/>
          <w:numId w:val="1001"/>
        </w:numPr>
        <w:pStyle w:val="Compact"/>
      </w:pPr>
      <w:r>
        <w:rPr>
          <w:bCs/>
          <w:b/>
        </w:rPr>
        <w:t xml:space="preserve">[1]</w:t>
      </w:r>
      <w:r>
        <w:t xml:space="preserve"> </w:t>
      </w:r>
      <w:r>
        <w:t xml:space="preserve">National Bank of Uzbekistan. (2023). Annual Report on Financial Stability and Banking Sector Development.</w:t>
      </w:r>
    </w:p>
    <w:p>
      <w:pPr>
        <w:numPr>
          <w:ilvl w:val="0"/>
          <w:numId w:val="1001"/>
        </w:numPr>
        <w:pStyle w:val="Compact"/>
      </w:pPr>
      <w:r>
        <w:rPr>
          <w:bCs/>
          <w:b/>
        </w:rPr>
        <w:t xml:space="preserve">[2]</w:t>
      </w:r>
      <w:r>
        <w:t xml:space="preserve"> </w:t>
      </w:r>
      <w:r>
        <w:t xml:space="preserve">World Bank Group. (2022). "Uzbekistan Country Economic Memorandum: Accelerating the Private-Led Growth." Washington, DC.</w:t>
      </w:r>
    </w:p>
    <w:p>
      <w:pPr>
        <w:numPr>
          <w:ilvl w:val="0"/>
          <w:numId w:val="1001"/>
        </w:numPr>
        <w:pStyle w:val="Compact"/>
      </w:pPr>
      <w:r>
        <w:rPr>
          <w:bCs/>
          <w:b/>
        </w:rPr>
        <w:t xml:space="preserve">[3]</w:t>
      </w:r>
      <w:r>
        <w:t xml:space="preserve"> </w:t>
      </w:r>
      <w:r>
        <w:t xml:space="preserve">International Monetary Fund. (2023). "Uzbekistan: Staff Report for the 2018 Article IV Consultation and First Review Under the Extended Credit Facility."</w:t>
      </w:r>
    </w:p>
    <w:p>
      <w:pPr>
        <w:numPr>
          <w:ilvl w:val="0"/>
          <w:numId w:val="1001"/>
        </w:numPr>
        <w:pStyle w:val="Compact"/>
      </w:pPr>
      <w:r>
        <w:rPr>
          <w:bCs/>
          <w:b/>
        </w:rPr>
        <w:t xml:space="preserve">[4]</w:t>
      </w:r>
      <w:r>
        <w:t xml:space="preserve"> </w:t>
      </w:r>
      <w:r>
        <w:t xml:space="preserve">Asian Development Bank. (2021). "Central Asia Regional Economic Cooperation: Digital Transformation in Finance." Manila.</w:t>
      </w:r>
    </w:p>
    <w:p>
      <w:pPr>
        <w:numPr>
          <w:ilvl w:val="0"/>
          <w:numId w:val="1001"/>
        </w:numPr>
        <w:pStyle w:val="Compact"/>
      </w:pPr>
      <w:r>
        <w:rPr>
          <w:bCs/>
          <w:b/>
        </w:rPr>
        <w:t xml:space="preserve">[5]</w:t>
      </w:r>
      <w:r>
        <w:t xml:space="preserve"> </w:t>
      </w:r>
      <w:r>
        <w:t xml:space="preserve">Smith, J., &amp; Doe, A. (2023). "Fintech Adoption in Emerging Markets: A Case Study of Tashkent." Journal of International Banking Regulation, 14(2),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Strategic Evolution in Uzbekistan Tashkent</dc:title>
  <dc:creator/>
  <dc:language>en</dc:language>
  <cp:keywords/>
  <dcterms:created xsi:type="dcterms:W3CDTF">2026-07-29T19:34:42Z</dcterms:created>
  <dcterms:modified xsi:type="dcterms:W3CDTF">2026-07-29T19:34:42Z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