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Roles</w:t>
      </w:r>
      <w:r>
        <w:t xml:space="preserve"> </w:t>
      </w:r>
      <w:r>
        <w:t xml:space="preserve">in</w:t>
      </w:r>
      <w:r>
        <w:t xml:space="preserve"> </w:t>
      </w:r>
      <w:r>
        <w:t xml:space="preserve">Germany</w:t>
      </w:r>
      <w:r>
        <w:t xml:space="preserve"> </w:t>
      </w:r>
      <w:r>
        <w:t xml:space="preserve">Frankfurt's</w:t>
      </w:r>
      <w:r>
        <w:t xml:space="preserve"> </w:t>
      </w:r>
      <w:r>
        <w:t xml:space="preserve">Dynamic</w:t>
      </w:r>
      <w:r>
        <w:t xml:space="preserve"> </w:t>
      </w:r>
      <w:r>
        <w:t xml:space="preserve">Economic</w:t>
      </w:r>
      <w:r>
        <w:t xml:space="preserve"> </w:t>
      </w:r>
      <w:r>
        <w:t xml:space="preserve">Landscape</w:t>
      </w:r>
    </w:p>
    <w:bookmarkStart w:id="27" w:name="Xd66fea2e3ae426234256b34a87fe5f25b0db2af"/>
    <w:p>
      <w:pPr>
        <w:pStyle w:val="Heading1"/>
      </w:pPr>
      <w:r>
        <w:t xml:space="preserve">The Strategic Imperative for a Business Consultant in the Heart of Europe</w:t>
      </w:r>
    </w:p>
    <w:p>
      <w:pPr>
        <w:pStyle w:val="FirstParagraph"/>
      </w:pPr>
      <w:r>
        <w:rPr>
          <w:bCs/>
          <w:b/>
        </w:rPr>
        <w:t xml:space="preserve">Presentation Title:</w:t>
      </w:r>
      <w:r>
        <w:t xml:space="preserve"> </w:t>
      </w:r>
      <w:r>
        <w:t xml:space="preserve">Navigating Regulatory Complexity and Digital Transformation</w:t>
      </w:r>
      <w:r>
        <w:br/>
      </w:r>
      <w:r>
        <w:rPr>
          <w:bCs/>
          <w:b/>
        </w:rPr>
        <w:t xml:space="preserve">A Conference Paper Submitted for the European Management Forum</w:t>
      </w:r>
      <w:r>
        <w:br/>
      </w:r>
      <w:r>
        <w:rPr>
          <w:bCs/>
          <w:b/>
        </w:rPr>
        <w:t xml:space="preserve">Date:</w:t>
      </w:r>
      <w:r>
        <w:t xml:space="preserve"> </w:t>
      </w:r>
      <w:r>
        <w:t xml:space="preserve">October 2023</w:t>
      </w:r>
      <w:r>
        <w:br/>
      </w:r>
      <w:r>
        <w:rPr>
          <w:iCs/>
          <w:i/>
        </w:rPr>
        <w:t xml:space="preserve">Focused Analysis on Germany Frankfurt Operational Dynamics</w:t>
      </w:r>
    </w:p>
    <w:bookmarkStart w:id="20" w:name="abstract"/>
    <w:p>
      <w:pPr>
        <w:pStyle w:val="Heading2"/>
      </w:pPr>
      <w:r>
        <w:t xml:space="preserve">Abstract</w:t>
      </w:r>
    </w:p>
    <w:p>
      <w:pPr>
        <w:pStyle w:val="FirstParagraph"/>
      </w:pPr>
      <w:r>
        <w:t xml:space="preserve">In an era defined by rapid technological disruption and stringent regulatory frameworks, the role of a</w:t>
      </w:r>
      <w:r>
        <w:t xml:space="preserve"> </w:t>
      </w:r>
      <w:r>
        <w:rPr>
          <w:bCs/>
          <w:b/>
        </w:rPr>
        <w:t xml:space="preserve">Business Consultant</w:t>
      </w:r>
      <w:r>
        <w:t xml:space="preserve"> </w:t>
      </w:r>
      <w:r>
        <w:t xml:space="preserve">has evolved from optional advisory service to essential strategic partner. This paper examines the critical functions of a</w:t>
      </w:r>
      <w:r>
        <w:t xml:space="preserve"> </w:t>
      </w:r>
      <w:r>
        <w:rPr>
          <w:bCs/>
          <w:b/>
        </w:rPr>
        <w:t xml:space="preserve">Business Consultant</w:t>
      </w:r>
      <w:r>
        <w:t xml:space="preserve">, specifically analyzing their impact within one of Europe’s most pivotal financial and logistical hubs:</w:t>
      </w:r>
      <w:r>
        <w:t xml:space="preserve"> </w:t>
      </w:r>
      <w:r>
        <w:rPr>
          <w:bCs/>
          <w:b/>
        </w:rPr>
        <w:t xml:space="preserve">Germany Frankfurt</w:t>
      </w:r>
      <w:r>
        <w:t xml:space="preserve">. As a global city with deep historical roots in finance, transport, and innovation, Frankfurt presents unique challenges regarding compliance, digital infrastructure integration, and cultural management. This document argues that effective consultancy in this region requires a nuanced understanding of the German "Mittelstand" ethos combined with agile international best practices. Through case analysis and strategic framework application, we demonstrate how a dedicated</w:t>
      </w:r>
      <w:r>
        <w:t xml:space="preserve"> </w:t>
      </w:r>
      <w:r>
        <w:rPr>
          <w:bCs/>
          <w:b/>
        </w:rPr>
        <w:t xml:space="preserve">Business Consultant</w:t>
      </w:r>
      <w:r>
        <w:t xml:space="preserve"> </w:t>
      </w:r>
      <w:r>
        <w:t xml:space="preserve">can drive sustainable growth for enterprises operating in</w:t>
      </w:r>
      <w:r>
        <w:t xml:space="preserve"> </w:t>
      </w:r>
      <w:r>
        <w:rPr>
          <w:bCs/>
          <w:b/>
        </w:rPr>
        <w:t xml:space="preserve">Germany Frankfurt</w:t>
      </w:r>
      <w:r>
        <w:t xml:space="preserve">.</w:t>
      </w:r>
    </w:p>
    <w:bookmarkEnd w:id="20"/>
    <w:bookmarkStart w:id="21" w:name="Xeed6dbe45d65635e530020be4f6392dc3e85ffe"/>
    <w:p>
      <w:pPr>
        <w:pStyle w:val="Heading2"/>
      </w:pPr>
      <w:r>
        <w:t xml:space="preserve">1. Introduction: The Unique Context of Germany Frankfurt</w:t>
      </w:r>
    </w:p>
    <w:p>
      <w:pPr>
        <w:pStyle w:val="FirstParagraph"/>
      </w:pPr>
      <w:r>
        <w:t xml:space="preserve">To understand the necessity of specialized consulting services, one must first appreciate the distinct economic ecosystem of</w:t>
      </w:r>
      <w:r>
        <w:t xml:space="preserve"> </w:t>
      </w:r>
      <w:r>
        <w:rPr>
          <w:bCs/>
          <w:b/>
        </w:rPr>
        <w:t xml:space="preserve">Germany Frankfurt</w:t>
      </w:r>
      <w:r>
        <w:t xml:space="preserve">. Often referred to as "Mainhattan" due to its impressive skyline, this city serves as the financial capital not only of Germany but also a significant node for European banking and trade. The presence of the European Central Bank (ECB), numerous major investment banks, and extensive international logistics networks creates a highly competitive environment. For corporations ranging from established multinationals to innovative startups, the pressure to maintain operational excellence is immense.</w:t>
      </w:r>
    </w:p>
    <w:p>
      <w:pPr>
        <w:pStyle w:val="BodyText"/>
      </w:pPr>
      <w:r>
        <w:t xml:space="preserve">In this high-stakes environment, a</w:t>
      </w:r>
      <w:r>
        <w:t xml:space="preserve"> </w:t>
      </w:r>
      <w:r>
        <w:rPr>
          <w:bCs/>
          <w:b/>
        </w:rPr>
        <w:t xml:space="preserve">Business Consultant</w:t>
      </w:r>
      <w:r>
        <w:t xml:space="preserve"> </w:t>
      </w:r>
      <w:r>
        <w:t xml:space="preserve">acts as the catalyst for transformation. However, generic consulting models often fail in</w:t>
      </w:r>
      <w:r>
        <w:t xml:space="preserve"> </w:t>
      </w:r>
      <w:r>
        <w:rPr>
          <w:bCs/>
          <w:b/>
        </w:rPr>
        <w:t xml:space="preserve">Germany Frankfurt</w:t>
      </w:r>
      <w:r>
        <w:t xml:space="preserve">. The local market demands precision, data-driven decision-making, and a profound respect for established regulatory structures. This paper explores how a tailored approach by a</w:t>
      </w:r>
      <w:r>
        <w:t xml:space="preserve"> </w:t>
      </w:r>
      <w:r>
        <w:rPr>
          <w:bCs/>
          <w:b/>
        </w:rPr>
        <w:t xml:space="preserve">Business Consultant</w:t>
      </w:r>
      <w:r>
        <w:t xml:space="preserve"> </w:t>
      </w:r>
      <w:r>
        <w:t xml:space="preserve">can address the specific pain points of companies situated in this vibrant metropolitan area.</w:t>
      </w:r>
    </w:p>
    <w:bookmarkEnd w:id="21"/>
    <w:bookmarkStart w:id="22" w:name="X17082b5111ab402635e9deb06d8096c6b4ce801"/>
    <w:p>
      <w:pPr>
        <w:pStyle w:val="Heading2"/>
      </w:pPr>
      <w:r>
        <w:t xml:space="preserve">2. Regulatory Navigation and Compliance Strategy</w:t>
      </w:r>
    </w:p>
    <w:p>
      <w:pPr>
        <w:pStyle w:val="FirstParagraph"/>
      </w:pPr>
      <w:r>
        <w:t xml:space="preserve">The primary mandate of any</w:t>
      </w:r>
      <w:r>
        <w:t xml:space="preserve"> </w:t>
      </w:r>
      <w:r>
        <w:rPr>
          <w:bCs/>
          <w:b/>
        </w:rPr>
        <w:t xml:space="preserve">Business Consultant</w:t>
      </w:r>
      <w:r>
        <w:t xml:space="preserve"> </w:t>
      </w:r>
      <w:r>
        <w:t xml:space="preserve">operating in Central Europe is ensuring regulatory compliance.</w:t>
      </w:r>
      <w:r>
        <w:t xml:space="preserve"> </w:t>
      </w:r>
      <w:r>
        <w:rPr>
          <w:bCs/>
          <w:b/>
        </w:rPr>
        <w:t xml:space="preserve">Germany Frankfurt</w:t>
      </w:r>
      <w:r>
        <w:t xml:space="preserve">, being the seat of major financial institutions, is subject to rigorous oversight by both national German authorities and European Union bodies such as BaFin (Federal Financial Supervisory Authority). The complexity of GDPR (General Data Protection Regulation), banking secrecy laws, and evolving sustainability reporting standards (ESG) requires expert guidance.</w:t>
      </w:r>
    </w:p>
    <w:p>
      <w:pPr>
        <w:pStyle w:val="BodyText"/>
      </w:pPr>
      <w:r>
        <w:t xml:space="preserve">A proficient</w:t>
      </w:r>
      <w:r>
        <w:t xml:space="preserve"> </w:t>
      </w:r>
      <w:r>
        <w:rPr>
          <w:bCs/>
          <w:b/>
        </w:rPr>
        <w:t xml:space="preserve">Business Consultant</w:t>
      </w:r>
      <w:r>
        <w:t xml:space="preserve"> </w:t>
      </w:r>
      <w:r>
        <w:t xml:space="preserve">does not merely ensure compliance to avoid penalties; they integrate these regulations into the core business strategy. For instance, when a new fintech startup establishes its headquarters in</w:t>
      </w:r>
      <w:r>
        <w:t xml:space="preserve"> </w:t>
      </w:r>
      <w:r>
        <w:rPr>
          <w:bCs/>
          <w:b/>
        </w:rPr>
        <w:t xml:space="preserve">Germany Frankfurt</w:t>
      </w:r>
      <w:r>
        <w:t xml:space="preserve">, the consultant must map out every regulatory hurdle regarding capital adequacy and consumer data protection. By anticipating these requirements, the</w:t>
      </w:r>
      <w:r>
        <w:t xml:space="preserve"> </w:t>
      </w:r>
      <w:r>
        <w:rPr>
          <w:bCs/>
          <w:b/>
        </w:rPr>
        <w:t xml:space="preserve">Business Consultant</w:t>
      </w:r>
      <w:r>
        <w:t xml:space="preserve"> </w:t>
      </w:r>
      <w:r>
        <w:t xml:space="preserve">transforms compliance from a cost center into a competitive advantage, signaling reliability to international investors and partners.</w:t>
      </w:r>
    </w:p>
    <w:bookmarkEnd w:id="22"/>
    <w:bookmarkStart w:id="23" w:name="Xc1c79c96559d0a9b5a638d931fac44d3f235d8a"/>
    <w:p>
      <w:pPr>
        <w:pStyle w:val="Heading2"/>
      </w:pPr>
      <w:r>
        <w:t xml:space="preserve">3. Digital Transformation in a Traditional Market</w:t>
      </w:r>
    </w:p>
    <w:p>
      <w:pPr>
        <w:pStyle w:val="FirstParagraph"/>
      </w:pPr>
      <w:r>
        <w:rPr>
          <w:bCs/>
          <w:b/>
        </w:rPr>
        <w:t xml:space="preserve">Germany Frankfurt</w:t>
      </w:r>
      <w:r>
        <w:t xml:space="preserve">Business Consultant: managing digital transformation.</w:t>
      </w:r>
    </w:p>
    <w:p>
      <w:pPr>
        <w:pStyle w:val="BodyText"/>
      </w:pPr>
      <w:r>
        <w:t xml:space="preserve">Digital adoption in Germany often faces cultural resistance, characterized by a preference for proven methodologies over experimental technologies. A</w:t>
      </w:r>
      <w:r>
        <w:t xml:space="preserve"> </w:t>
      </w:r>
      <w:r>
        <w:rPr>
          <w:bCs/>
          <w:b/>
        </w:rPr>
        <w:t xml:space="preserve">Business Consultant</w:t>
      </w:r>
      <w:r>
        <w:t xml:space="preserve"> </w:t>
      </w:r>
      <w:r>
        <w:t xml:space="preserve">must bridge this gap. In Frankfurt, where legacy banking systems coexist with booming tech hubs like the "Bankenviertel," the consultant facilitates the integration of AI, blockchain, and cloud computing solutions without disrupting existing operational workflows. This involves change management strategies that respect local corporate culture while introducing agile methodologies.</w:t>
      </w:r>
    </w:p>
    <w:p>
      <w:pPr>
        <w:pStyle w:val="BodyText"/>
      </w:pPr>
      <w:r>
        <w:t xml:space="preserve">Furthermore, infrastructure in</w:t>
      </w:r>
      <w:r>
        <w:t xml:space="preserve"> </w:t>
      </w:r>
      <w:r>
        <w:rPr>
          <w:bCs/>
          <w:b/>
        </w:rPr>
        <w:t xml:space="preserve">Germany Frankfurt</w:t>
      </w:r>
      <w:r>
        <w:t xml:space="preserve">Business Consultant evaluates IT landscapes to ensure they are scalable and secure, leveraging the city’s status as a digital crossroads. By implementing cybersecurity measures aligned with local standards, the consultant protects the intellectual property and customer data of firms operating in this high-value sector.</w:t>
      </w:r>
    </w:p>
    <w:bookmarkEnd w:id="23"/>
    <w:bookmarkStart w:id="24" w:name="X94a7969ddea64570ba394e904eed51fda01296e"/>
    <w:p>
      <w:pPr>
        <w:pStyle w:val="Heading2"/>
      </w:pPr>
      <w:r>
        <w:t xml:space="preserve">4. Human Capital and Cross-Cultural Management</w:t>
      </w:r>
    </w:p>
    <w:p>
      <w:pPr>
        <w:pStyle w:val="FirstParagraph"/>
      </w:pPr>
      <w:r>
        <w:t xml:space="preserve">No discussion on strategy is complete without addressing human resources.</w:t>
      </w:r>
      <w:r>
        <w:t xml:space="preserve"> </w:t>
      </w:r>
      <w:r>
        <w:rPr>
          <w:bCs/>
          <w:b/>
        </w:rPr>
        <w:t xml:space="preserve">Germany Frankfurt</w:t>
      </w:r>
      <w:r>
        <w:t xml:space="preserve">Business Consultant</w:t>
      </w:r>
    </w:p>
    <w:p>
      <w:pPr>
        <w:pStyle w:val="BodyText"/>
      </w:pPr>
      <w:r>
        <w:t xml:space="preserve">The German labor market has specific characteristics regarding employment contracts, works councils (Betriebsrat), and employee representation rights. A</w:t>
      </w:r>
      <w:r>
        <w:t xml:space="preserve"> </w:t>
      </w:r>
      <w:r>
        <w:rPr>
          <w:bCs/>
          <w:b/>
        </w:rPr>
        <w:t xml:space="preserve">Business Consultant</w:t>
      </w:r>
    </w:p>
    <w:bookmarkEnd w:id="24"/>
    <w:bookmarkStart w:id="25" w:name="strategic-market-entry-and-expansion"/>
    <w:p>
      <w:pPr>
        <w:pStyle w:val="Heading2"/>
      </w:pPr>
      <w:r>
        <w:t xml:space="preserve">5. Strategic Market Entry and Expansion</w:t>
      </w:r>
    </w:p>
    <w:p>
      <w:pPr>
        <w:pStyle w:val="FirstParagraph"/>
      </w:pPr>
      <w:r>
        <w:t xml:space="preserve">For international companies looking to penetrate the DACH region (Germany, Austria, Switzerland),</w:t>
      </w:r>
      <w:r>
        <w:t xml:space="preserve"> </w:t>
      </w:r>
      <w:r>
        <w:rPr>
          <w:bCs/>
          <w:b/>
        </w:rPr>
        <w:t xml:space="preserve">Germany Frankfurt</w:t>
      </w:r>
      <w:r>
        <w:t xml:space="preserve">Business Consultant</w:t>
      </w:r>
    </w:p>
    <w:p>
      <w:pPr>
        <w:pStyle w:val="BodyText"/>
      </w:pPr>
      <w:r>
        <w:t xml:space="preserve">This involves conducting comprehensive market analyses to understand consumer behavior in the Rhine-Main metropolitan area. The consultant identifies local competitors, supply chain opportunities, and partnership potentials with other major firms in the financial district. By leveraging local networks and understanding the nuances of German business etiquette—such as direct communication styles and high expectations for quality—a</w:t>
      </w:r>
      <w:r>
        <w:t xml:space="preserve"> </w:t>
      </w:r>
      <w:r>
        <w:rPr>
          <w:bCs/>
          <w:b/>
        </w:rPr>
        <w:t xml:space="preserve">Business Consultant</w:t>
      </w:r>
      <w:r>
        <w:t xml:space="preserve"> </w:t>
      </w:r>
      <w:r>
        <w:t xml:space="preserve">de-risks market entry for foreign entities.</w:t>
      </w:r>
    </w:p>
    <w:bookmarkEnd w:id="25"/>
    <w:bookmarkStart w:id="26" w:name="Xa94784f81fab5abd21a773feef89d04d155bdb7"/>
    <w:p>
      <w:pPr>
        <w:pStyle w:val="Heading2"/>
      </w:pPr>
      <w:r>
        <w:t xml:space="preserve">6. Conclusion: The Essential Partner for Sustainable Growth</w:t>
      </w:r>
    </w:p>
    <w:p>
      <w:pPr>
        <w:pStyle w:val="FirstParagraph"/>
      </w:pPr>
      <w:r>
        <w:t xml:space="preserve">In conclusion, the role of a</w:t>
      </w:r>
      <w:r>
        <w:t xml:space="preserve"> </w:t>
      </w:r>
      <w:r>
        <w:rPr>
          <w:bCs/>
          <w:b/>
        </w:rPr>
        <w:t xml:space="preserve">Business ConsultantGermany Frankfurt</w:t>
      </w:r>
    </w:p>
    <w:p>
      <w:pPr>
        <w:pStyle w:val="BodyText"/>
      </w:pPr>
      <w:r>
        <w:t xml:space="preserve">The evidence suggests that organizations engaging a specialized</w:t>
      </w:r>
    </w:p>
    <w:p>
      <w:pPr>
        <w:pStyle w:val="BodyText"/>
      </w:pPr>
      <w:r>
        <w:t xml:space="preserve">Business ConsultantBusiness ConsultantGermany Frankfurt.</w:t>
      </w:r>
    </w:p>
    <w:p>
      <w:pPr>
        <w:pStyle w:val="BodyText"/>
      </w:pPr>
      <w:r>
        <w:rPr>
          <w:iCs/>
          <w:i/>
        </w:rPr>
        <w:t xml:space="preserve">This paper underscores that in the heart of Europe’s financial center, expert consultation is not merely an option—it is a business imperative.</w:t>
      </w:r>
    </w:p>
    <w:p>
      <w:r>
        <w:pict>
          <v:rect style="width:0;height:1.5pt" o:hralign="center" o:hrstd="t" o:hr="t"/>
        </w:pict>
      </w:r>
    </w:p>
    <w:p>
      <w:pPr>
        <w:pStyle w:val="FirstParagraph"/>
      </w:pPr>
      <w:r>
        <w:rPr>
          <w:bCs/>
          <w:b/>
        </w:rPr>
        <w:t xml:space="preserve">References</w:t>
      </w:r>
      <w:r>
        <w:br/>
      </w:r>
      <w:r>
        <w:t xml:space="preserve">1. European Central Bank Annual Reports.</w:t>
      </w:r>
      <w:r>
        <w:br/>
      </w:r>
      <w:r>
        <w:t xml:space="preserve">2. German Federal Ministry for Economic Affairs and Climate Action.</w:t>
      </w:r>
      <w:r>
        <w:br/>
      </w:r>
      <w:r>
        <w:t xml:space="preserve">3. McKinsey Global Institute: Digital Transformation in the DACH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Roles in Germany Frankfurt's Dynamic Economic Landscape</dc:title>
  <dc:creator/>
  <dc:language>en</dc:language>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