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in</w:t>
      </w:r>
      <w:r>
        <w:t xml:space="preserve"> </w:t>
      </w:r>
      <w:r>
        <w:t xml:space="preserve">the</w:t>
      </w:r>
      <w:r>
        <w:t xml:space="preserve"> </w:t>
      </w:r>
      <w:r>
        <w:t xml:space="preserve">Petrochemical</w:t>
      </w:r>
      <w:r>
        <w:t xml:space="preserve"> </w:t>
      </w:r>
      <w:r>
        <w:t xml:space="preserve">Sector:</w:t>
      </w:r>
      <w:r>
        <w:t xml:space="preserve"> </w:t>
      </w:r>
      <w:r>
        <w:t xml:space="preserve">A</w:t>
      </w:r>
      <w:r>
        <w:t xml:space="preserve"> </w:t>
      </w:r>
      <w:r>
        <w:t xml:space="preserve">Strategic</w:t>
      </w:r>
      <w:r>
        <w:t xml:space="preserve"> </w:t>
      </w:r>
      <w:r>
        <w:t xml:space="preserve">Roadmap</w:t>
      </w:r>
      <w:r>
        <w:t xml:space="preserve"> </w:t>
      </w:r>
      <w:r>
        <w:t xml:space="preserve">for</w:t>
      </w:r>
      <w:r>
        <w:t xml:space="preserve"> </w:t>
      </w:r>
      <w:r>
        <w:t xml:space="preserve">Malaysia</w:t>
      </w:r>
      <w:r>
        <w:t xml:space="preserve"> </w:t>
      </w:r>
      <w:r>
        <w:t xml:space="preserve">Kuala</w:t>
      </w:r>
      <w:r>
        <w:t xml:space="preserve"> </w:t>
      </w:r>
      <w:r>
        <w:t xml:space="preserve">Lumpur</w:t>
      </w:r>
    </w:p>
    <w:bookmarkStart w:id="30" w:name="X9fdd92680957a3a1d70fb0b850925156669268d"/>
    <w:p>
      <w:pPr>
        <w:pStyle w:val="Heading1"/>
      </w:pPr>
      <w:r>
        <w:t xml:space="preserve">Sustainable Process Intensification in the Petrochemical Sector: A Strategic Roadmap for Malaysia Kuala Lumpur</w:t>
      </w:r>
    </w:p>
    <w:p>
      <w:pPr>
        <w:pStyle w:val="FirstParagraph"/>
      </w:pPr>
      <w:r>
        <w:t xml:space="preserve">Prepared for the International Symposium on Advanced Manufacturing and Chemical Engineering</w:t>
      </w:r>
      <w:r>
        <w:br/>
      </w:r>
      <w:r>
        <w:t xml:space="preserve">Location: Kuala Lumpur, Malaysia</w:t>
      </w:r>
      <w:r>
        <w:br/>
      </w:r>
      <w:r>
        <w:t xml:space="preserve">Date: October 2023</w:t>
      </w:r>
    </w:p>
    <w:bookmarkStart w:id="20" w:name="abstract"/>
    <w:p>
      <w:pPr>
        <w:pStyle w:val="Heading3"/>
      </w:pPr>
      <w:r>
        <w:t xml:space="preserve">Abstract</w:t>
      </w:r>
    </w:p>
    <w:p>
      <w:pPr>
        <w:pStyle w:val="FirstParagraph"/>
      </w:pPr>
      <w:r>
        <w:t xml:space="preserve">This conference paper explores the critical role of the modern Chemical Engineer in driving sustainability and efficiency within Malaysia's industrial landscape, with a specific focus on Kuala Lumpur as a burgeoning hub for high-tech manufacturing and green technology. As global demand for petrochemical derivatives remains robust, local industries face increasing pressure to decarbonize operations while maintaining economic viability. This study proposes a framework for Process Intensification (PI) tailored to the unique regulatory and environmental context of Malaysia Kuala Lumpur. By integrating advanced modeling techniques, renewable energy integration, and circular economy principles, this paper argues that Chemical Engineers are pivotal in transforming traditional manufacturing sites into sustainable innovation centers.</w:t>
      </w:r>
    </w:p>
    <w:bookmarkEnd w:id="20"/>
    <w:p>
      <w:pPr>
        <w:pStyle w:val="BodyText"/>
      </w:pPr>
      <w:r>
        <w:rPr>
          <w:bCs/>
          <w:b/>
        </w:rPr>
        <w:t xml:space="preserve">Keywords:</w:t>
      </w:r>
      <w:r>
        <w:t xml:space="preserve"> </w:t>
      </w:r>
      <w:r>
        <w:t xml:space="preserve">Chemical Engineer, Sustainability, Process Intensification, Malaysia Kuala Lumpur, Petrochemical Industry</w:t>
      </w:r>
    </w:p>
    <w:bookmarkStart w:id="21" w:name="introduction"/>
    <w:p>
      <w:pPr>
        <w:pStyle w:val="Heading2"/>
      </w:pPr>
      <w:r>
        <w:t xml:space="preserve">1. Introduction</w:t>
      </w:r>
    </w:p>
    <w:p>
      <w:pPr>
        <w:pStyle w:val="FirstParagraph"/>
      </w:pPr>
      <w:r>
        <w:t xml:space="preserve">The chemical industry serves as the backbone of modern industrial society, providing essential materials for agriculture, construction, healthcare, and energy storage. However, the sector is currently undergoing a profound transformation driven by global climate agreements and local regulatory mandates. For a developing economy like Malaysia Kuala Lumpur presents a unique paradox: it is simultaneously one of Southeast Asia’s most dynamic economic engines and an area under intense scrutiny regarding its carbon footprint. The transition toward net-zero emissions requires more than just policy shifts; it demands technical innovation led by specialized professionals.</w:t>
      </w:r>
    </w:p>
    <w:p>
      <w:pPr>
        <w:pStyle w:val="BodyText"/>
      </w:pPr>
      <w:r>
        <w:t xml:space="preserve">In this context, the Chemical Engineer emerges not merely as a technician managing reactors but as a strategic architect of sustainable systems. This paper examines how Chemical Engineers can leverage their expertise to optimize processes specifically within the Kuala Lumpur metropolitan area and its surrounding industrial zones. The focus is on bridging the gap between theoretical chemical principles and practical, large-scale industrial application in Malaysia Kuala Lumpur.</w:t>
      </w:r>
    </w:p>
    <w:bookmarkEnd w:id="21"/>
    <w:bookmarkStart w:id="22" w:name="the-role-of-the-chemical-engineer"/>
    <w:p>
      <w:pPr>
        <w:pStyle w:val="Heading2"/>
      </w:pPr>
      <w:r>
        <w:t xml:space="preserve">2. The Evolving Role of the Chemical Engineer</w:t>
      </w:r>
    </w:p>
    <w:p>
      <w:pPr>
        <w:pStyle w:val="FirstParagraph"/>
      </w:pPr>
      <w:r>
        <w:t xml:space="preserve">Traditionally, the role of a Chemical Engineer was defined by mass and energy balances, heat transfer optimization, and reaction kinetics. While these fundamentals remain critical, the contemporary Chemical Engineer must now possess a multidisciplinary skill set that includes data analytics, environmental law compliance, and lifecycle assessment (LCA). In Malaysia Kuala Lumpur, where industrial parks are increasingly integrated with smart city initiatives like the Kuala Lumpur Smart City Blueprint 2030, this evolution is particularly pronounced.</w:t>
      </w:r>
    </w:p>
    <w:p>
      <w:pPr>
        <w:pStyle w:val="BodyText"/>
      </w:pPr>
      <w:r>
        <w:t xml:space="preserve">The modern Chemical Engineer is tasked with:</w:t>
      </w:r>
    </w:p>
    <w:p>
      <w:pPr>
        <w:numPr>
          <w:ilvl w:val="0"/>
          <w:numId w:val="1001"/>
        </w:numPr>
        <w:pStyle w:val="Compact"/>
      </w:pPr>
      <w:r>
        <w:rPr>
          <w:bCs/>
          <w:b/>
        </w:rPr>
        <w:t xml:space="preserve">Digitalization of Operations:</w:t>
      </w:r>
      <w:r>
        <w:t xml:space="preserve"> </w:t>
      </w:r>
      <w:r>
        <w:t xml:space="preserve">Implementing Industry 4.0 technologies such as Digital Twins to simulate and optimize chemical processes in real-time.</w:t>
      </w:r>
    </w:p>
    <w:p>
      <w:pPr>
        <w:numPr>
          <w:ilvl w:val="0"/>
          <w:numId w:val="1001"/>
        </w:numPr>
        <w:pStyle w:val="Compact"/>
      </w:pPr>
      <w:r>
        <w:rPr>
          <w:iCs/>
          <w:i/>
        </w:rPr>
        <w:t xml:space="preserve">Circular Economy Integration:</w:t>
      </w:r>
    </w:p>
    <w:p>
      <w:pPr>
        <w:numPr>
          <w:ilvl w:val="0"/>
          <w:numId w:val="1000"/>
        </w:numPr>
        <w:pStyle w:val="Compact"/>
      </w:pPr>
      <w:r>
        <w:t xml:space="preserve">: Designing processes that minimize waste by treating by-products as raw materials for other industries.</w:t>
      </w:r>
    </w:p>
    <w:p>
      <w:pPr>
        <w:numPr>
          <w:ilvl w:val="0"/>
          <w:numId w:val="1001"/>
        </w:numPr>
        <w:pStyle w:val="Compact"/>
      </w:pPr>
      <w:r>
        <w:rPr>
          <w:bCs/>
          <w:b/>
        </w:rPr>
        <w:t xml:space="preserve">Decarbonization Strategies:</w:t>
      </w:r>
    </w:p>
    <w:p>
      <w:pPr>
        <w:numPr>
          <w:ilvl w:val="0"/>
          <w:numId w:val="1000"/>
        </w:numPr>
        <w:pStyle w:val="Compact"/>
      </w:pPr>
      <w:r>
        <w:t xml:space="preserve">: Identifying opportunities to replace fossil-fuel-based heat sources with renewable alternatives, such as biomass or green hydrogen.</w:t>
      </w:r>
    </w:p>
    <w:bookmarkEnd w:id="22"/>
    <w:bookmarkStart w:id="25" w:name="process-intensification-in-kuala-lumpur"/>
    <w:p>
      <w:pPr>
        <w:pStyle w:val="Heading2"/>
      </w:pPr>
      <w:r>
        <w:t xml:space="preserve">3. Process Intensification (PI) in the Malaysian Context</w:t>
      </w:r>
    </w:p>
    <w:p>
      <w:pPr>
        <w:pStyle w:val="FirstParagraph"/>
      </w:pPr>
      <w:r>
        <w:t xml:space="preserve">Process Intensification (PI) refers to a set of technologies that significantly reduce the size, energy consumption, and waste generation of chemical processes. For Malaysia Kuala Lumpur, where land availability for new industrial facilities is constrained and utility costs are rising, PI offers a compelling economic argument alongside its environmental benefits.</w:t>
      </w:r>
    </w:p>
    <w:bookmarkStart w:id="23" w:name="X19fbfe2e71e7c2111882a383feca014ac38a3f5"/>
    <w:p>
      <w:pPr>
        <w:pStyle w:val="Heading3"/>
      </w:pPr>
      <w:r>
        <w:t xml:space="preserve">3.1 Case Study: Advanced Separation Technologies</w:t>
      </w:r>
    </w:p>
    <w:p>
      <w:pPr>
        <w:pStyle w:val="FirstParagraph"/>
      </w:pPr>
      <w:r>
        <w:t xml:space="preserve">Separation processes account for approximately 40-70% of capital and operating costs in chemical plants. In the context of Malaysia Kuala Lumpur’s petrochemical clusters, adopting membrane separation technologies instead of traditional distillation columns can reduce energy consumption by up to 30%. Chemical Engineers are responsible for selecting appropriate membrane materials that can withstand the corrosive environments typical of refining operations while maintaining high selectivity.</w:t>
      </w:r>
    </w:p>
    <w:bookmarkEnd w:id="23"/>
    <w:bookmarkStart w:id="24" w:name="heat-integration-and-pinch-analysis"/>
    <w:p>
      <w:pPr>
        <w:pStyle w:val="Heading3"/>
      </w:pPr>
      <w:r>
        <w:t xml:space="preserve">3.2 Heat Integration and Pinch Analysis</w:t>
      </w:r>
    </w:p>
    <w:p>
      <w:pPr>
        <w:pStyle w:val="FirstParagraph"/>
      </w:pPr>
      <w:r>
        <w:t xml:space="preserve">Pinch analysis is a methodology used to optimize heat recovery networks. For existing facilities in Malaysia Kuala Lumpur, retrofitting heat exchanger networks can yield significant energy savings without disrupting ongoing operations. The Chemical Engineer plays a crucial role in identifying "pinch points" within the system and redesigning the network to maximize internal heat recovery, thereby reducing the load on external boilers and coolers.</w:t>
      </w:r>
    </w:p>
    <w:bookmarkEnd w:id="24"/>
    <w:bookmarkEnd w:id="25"/>
    <w:bookmarkStart w:id="26" w:name="regulatory-framework"/>
    <w:p>
      <w:pPr>
        <w:pStyle w:val="Heading2"/>
      </w:pPr>
      <w:r>
        <w:t xml:space="preserve">4. Navigating the Regulatory Landscape of Malaysia Kuala Lumpur</w:t>
      </w:r>
    </w:p>
    <w:p>
      <w:pPr>
        <w:pStyle w:val="FirstParagraph"/>
      </w:pPr>
      <w:r>
        <w:t xml:space="preserve">The implementation of sustainable technologies is heavily influenced by regulatory frameworks. In Malaysia, the Department of Environment (DOE) and the Malaysian Green Technology and Climate Change Corporation (MGTC) set stringent guidelines for industrial emissions. For a Chemical Engineer operating in Malaysia Kuala Lumpur, compliance is not just a legal obligation but a competitive advantage.</w:t>
      </w:r>
    </w:p>
    <w:p>
      <w:pPr>
        <w:pStyle w:val="BodyText"/>
      </w:pPr>
      <w:r>
        <w:t xml:space="preserve">Recent amendments to the Environmental Quality Act emphasize stricter controls on volatile organic compounds (VOCs) and greenhouse gas emissions. Chemical Engineers must utilize advanced monitoring systems and predictive maintenance algorithms to ensure that their processes remain within these limits. Furthermore, understanding the nuances of local incentives, such as tax breaks for green technology adoption offered by agencies in Malaysia Kuala Lumpur, allows engineers to justify investments in sustainable infrastructure to stakeholders.</w:t>
      </w:r>
    </w:p>
    <w:bookmarkEnd w:id="26"/>
    <w:bookmarkStart w:id="27" w:name="challenges-and-opportunities"/>
    <w:p>
      <w:pPr>
        <w:pStyle w:val="Heading2"/>
      </w:pPr>
      <w:r>
        <w:t xml:space="preserve">5. Challenges and Opportunities</w:t>
      </w:r>
    </w:p>
    <w:p>
      <w:pPr>
        <w:pStyle w:val="FirstParagraph"/>
      </w:pPr>
      <w:r>
        <w:t xml:space="preserve">Despite the clear benefits, the transition toward sustainable chemical engineering faces several hurdles. The primary challenge is the high initial capital expenditure required for retrofitting existing plants in Malaysia Kuala Lumpur. Many legacy facilities were designed with outdated assumptions about energy prices and environmental regulations.</w:t>
      </w:r>
    </w:p>
    <w:p>
      <w:pPr>
        <w:pStyle w:val="BodyText"/>
      </w:pPr>
      <w:r>
        <w:rPr>
          <w:bCs/>
          <w:b/>
        </w:rPr>
        <w:t xml:space="preserve">Challenge</w:t>
      </w:r>
    </w:p>
    <w:p>
      <w:pPr>
        <w:pStyle w:val="BodyText"/>
      </w:pPr>
      <w:r>
        <w:rPr>
          <w:bCs/>
          <w:b/>
        </w:rPr>
        <w:t xml:space="preserve">Impact on Chemical Engineer</w:t>
      </w:r>
    </w:p>
    <w:p>
      <w:pPr>
        <w:pStyle w:val="BodyText"/>
      </w:pPr>
      <w:r>
        <w:rPr>
          <w:bCs/>
          <w:b/>
        </w:rPr>
        <w:t xml:space="preserve">Mitigation Strategy in Malaysia Kuala Lumpur</w:t>
      </w:r>
    </w:p>
    <w:p>
      <w:pPr>
        <w:pStyle w:val="BodyText"/>
      </w:pPr>
      <w:r>
        <w:t xml:space="preserve">Legacy Infrastructure</w:t>
      </w:r>
    </w:p>
    <w:p>
      <w:pPr>
        <w:pStyle w:val="BodyText"/>
      </w:pPr>
      <w:r>
        <w:t xml:space="preserve">Differentiation between new and old systems requires complex engineering solutions. Use modular PI technologies that can be installed without full shutdowns.</w:t>
      </w:r>
    </w:p>
    <w:p>
      <w:pPr>
        <w:pStyle w:val="BodyText"/>
      </w:pPr>
      <w:r>
        <w:t xml:space="preserve">Skills Gap</w:t>
      </w:r>
    </w:p>
    <w:p>
      <w:pPr>
        <w:pStyle w:val="BodyText"/>
      </w:pPr>
      <w:r>
        <w:t xml:space="preserve">Lack of expertise in AI and green chemistry.</w:t>
      </w:r>
    </w:p>
    <w:p>
      <w:pPr>
        <w:pStyle w:val="BodyText"/>
      </w:pPr>
      <w:r>
        <w:t xml:space="preserve">Funding for continuous professional development (CPD) programs through local engineering bodies like BEM (Board of Engineers Malaysia).</w:t>
      </w:r>
    </w:p>
    <w:p>
      <w:pPr>
        <w:pStyle w:val="BodyText"/>
      </w:pPr>
      <w:r>
        <w:rPr>
          <w:bCs/>
          <w:b/>
        </w:rPr>
        <w:t xml:space="preserve">Economic Volatility</w:t>
      </w:r>
    </w:p>
    <w:p>
      <w:pPr>
        <w:pStyle w:val="BodyText"/>
      </w:pPr>
      <w:r>
        <w:t xml:space="preserve">: Fluctuating oil prices affect investment capacity.</w:t>
      </w:r>
    </w:p>
    <w:p>
      <w:pPr>
        <w:pStyle w:val="BodyText"/>
      </w:pPr>
      <w:r>
        <w:t xml:space="preserve">Focus on long-term operational cost savings rather than immediate ROI.</w:t>
      </w:r>
    </w:p>
    <w:p>
      <w:pPr>
        <w:pStyle w:val="BodyText"/>
      </w:pPr>
      <w:r>
        <w:t xml:space="preserve">Prioritize low-cost, high-impact PI measures first.</w:t>
      </w:r>
    </w:p>
    <w:bookmarkEnd w:id="27"/>
    <w:bookmarkStart w:id="28" w:name="future-directions"/>
    <w:p>
      <w:pPr>
        <w:pStyle w:val="Heading2"/>
      </w:pPr>
      <w:r>
        <w:t xml:space="preserve">6. Future Directions and Conclusion</w:t>
      </w:r>
    </w:p>
    <w:p>
      <w:pPr>
        <w:pStyle w:val="FirstParagraph"/>
      </w:pPr>
      <w:r>
        <w:t xml:space="preserve">The future of the chemical industry in Malaysia Kuala Lumpur lies in the symbiotic relationship between technological innovation and environmental stewardship. As global markets demand greener products, Chemical Engineers will be at the forefront of this change. The integration of AI-driven process control, renewable energy sources, and circular economy principles will define the next generation of industrial facilities.</w:t>
      </w:r>
    </w:p>
    <w:p>
      <w:pPr>
        <w:pStyle w:val="BodyText"/>
      </w:pPr>
      <w:r>
        <w:t xml:space="preserve">In conclusion, the Chemical Engineer is no longer a passive observer of industrial processes but an active agent of sustainable transformation. For Malaysia Kuala Lumpur to maintain its position as a leading economic hub in Southeast Asia, it must empower its engineering workforce with the tools, training, and regulatory support necessary to implement these advanced technologies. By embracing Process Intensification and adopting a holistic view of sustainability, Chemical Engineers can ensure that the industrial growth of Malaysia Kuala Lumpur is both prosperous and planet-positive.</w:t>
      </w:r>
    </w:p>
    <w:p>
      <w:pPr>
        <w:pStyle w:val="BodyText"/>
      </w:pPr>
      <w:r>
        <w:t xml:space="preserve">The path forward requires collaboration between academia, industry leaders, and government bodies. It is through this tripartite partnership that we can realize the full potential of sustainable chemical engineering in Malaysia Kuala Lumpur, setting a benchmark for the rest of the region.</w:t>
      </w:r>
    </w:p>
    <w:bookmarkEnd w:id="28"/>
    <w:bookmarkStart w:id="29" w:name="references"/>
    <w:p>
      <w:pPr>
        <w:pStyle w:val="Heading2"/>
      </w:pPr>
      <w:r>
        <w:t xml:space="preserve">7. References</w:t>
      </w:r>
    </w:p>
    <w:p>
      <w:pPr>
        <w:numPr>
          <w:ilvl w:val="0"/>
          <w:numId w:val="1002"/>
        </w:numPr>
        <w:pStyle w:val="Compact"/>
      </w:pPr>
      <w:r>
        <w:t xml:space="preserve">Mohammad, N., &amp; Singh, R. (2022). *Process Intensification in Southeast Asian Petrochemical Clusters*. Journal of Chemical Engineering Malaysia.</w:t>
      </w:r>
    </w:p>
    <w:p>
      <w:pPr>
        <w:numPr>
          <w:ilvl w:val="0"/>
          <w:numId w:val="1002"/>
        </w:numPr>
        <w:pStyle w:val="Compact"/>
      </w:pPr>
      <w:r>
        <w:t xml:space="preserve">Government of Malaysia. (2021). *National Energy Transition Roadmap (NETR)*. Ministry of Energy and Natural Resources.</w:t>
      </w:r>
    </w:p>
    <w:p>
      <w:pPr>
        <w:numPr>
          <w:ilvl w:val="0"/>
          <w:numId w:val="1002"/>
        </w:numPr>
        <w:pStyle w:val="Compact"/>
      </w:pPr>
      <w:r>
        <w:t xml:space="preserve">Zhang, L., et al. (2023). *Digital Twins for Sustainable Manufacturing in Urban Industrial Zones*. International Journal of Advanced Manufacturing Technology.</w:t>
      </w:r>
    </w:p>
    <w:p>
      <w:pPr>
        <w:numPr>
          <w:ilvl w:val="0"/>
          <w:numId w:val="1002"/>
        </w:numPr>
        <w:pStyle w:val="Compact"/>
      </w:pPr>
      <w:r>
        <w:t xml:space="preserve">Mahmood, A. (2020). *Regulatory Frameworks for Green Chemistry in Malaysia*. Kuala Lumpur: Malaysian Chemical Society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in the Petrochemical Sector: A Strategic Roadmap for Malaysia Kuala Lumpur</dc:title>
  <dc:creator/>
  <dc:language>en</dc:language>
  <cp:keywords/>
  <dcterms:created xsi:type="dcterms:W3CDTF">2026-07-30T04:09:58Z</dcterms:created>
  <dcterms:modified xsi:type="dcterms:W3CDTF">2026-07-30T04:09:58Z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