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Uzbekistan</w:t>
      </w:r>
      <w:r>
        <w:t xml:space="preserve"> </w:t>
      </w:r>
      <w:r>
        <w:t xml:space="preserve">Tashkent</w:t>
      </w:r>
    </w:p>
    <w:bookmarkStart w:id="30" w:name="X121452e5e23487a462e84912e26f582df971013"/>
    <w:p>
      <w:pPr>
        <w:pStyle w:val="Heading1"/>
      </w:pPr>
      <w:r>
        <w:t xml:space="preserve">Redefining Industrial Synergy: The Strategic Role of the Chemical Engineer in Uzbekistan Tashkent’s Green Transition</w:t>
      </w:r>
    </w:p>
    <w:p>
      <w:pPr>
        <w:pStyle w:val="FirstParagraph"/>
      </w:pPr>
      <w:r>
        <w:rPr>
          <w:bCs/>
          <w:b/>
        </w:rPr>
        <w:t xml:space="preserve">A. S. Karimov, Ph.D.</w:t>
      </w:r>
      <w:r>
        <w:br/>
      </w:r>
      <w:r>
        <w:t xml:space="preserve">Department of Process Engineering,</w:t>
      </w:r>
      <w:r>
        <w:br/>
      </w:r>
      <w:r>
        <w:t xml:space="preserve">National University of Uzbekistan</w:t>
      </w:r>
      <w:r>
        <w:br/>
      </w:r>
      <w:r>
        <w:t xml:space="preserve">Tashkent, Uzbekistan</w:t>
      </w:r>
    </w:p>
    <w:bookmarkStart w:id="20" w:name="abstract"/>
    <w:p>
      <w:pPr>
        <w:pStyle w:val="Heading2"/>
      </w:pPr>
      <w:r>
        <w:t xml:space="preserve">Abstract</w:t>
      </w:r>
    </w:p>
    <w:p>
      <w:pPr>
        <w:pStyle w:val="FirstParagraph"/>
      </w:pPr>
      <w:r>
        <w:t xml:space="preserve">The Republic of Uzbekistan is currently undergoing a significant economic transformation, shifting from traditional resource extraction toward value-added manufacturing and sustainable industrial practices. At the heart of this transition lies the critical role of the</w:t>
      </w:r>
      <w:r>
        <w:t xml:space="preserve"> </w:t>
      </w:r>
      <w:r>
        <w:rPr>
          <w:bCs/>
          <w:b/>
        </w:rPr>
        <w:t xml:space="preserve">Chemical Engineer</w:t>
      </w:r>
      <w:r>
        <w:t xml:space="preserve">. This paper examines the evolving responsibilities, technological demands, and strategic importance of chemical engineering professionals within</w:t>
      </w:r>
      <w:r>
        <w:t xml:space="preserve"> </w:t>
      </w:r>
      <w:r>
        <w:rPr>
          <w:bCs/>
          <w:b/>
        </w:rPr>
        <w:t xml:space="preserve">Uzbekistan Tashkent</w:t>
      </w:r>
      <w:r>
        <w:t xml:space="preserve">, a burgeoning hub for innovation and industrial development. We analyze current challenges in petrochemical processing, water management systems, and green energy integration. Furthermore, we propose a framework for educational reform and industry-academia collaboration to equip the next generation of engineers with the skills necessary to drive sustainable growth in</w:t>
      </w:r>
      <w:r>
        <w:t xml:space="preserve"> </w:t>
      </w:r>
      <w:r>
        <w:rPr>
          <w:bCs/>
          <w:b/>
        </w:rPr>
        <w:t xml:space="preserve">Uzbekistan Tashkent</w:t>
      </w:r>
      <w:r>
        <w:t xml:space="preserve">. The study concludes that strategic investment in chemical engineering expertise is not merely an industrial necessity but a cornerstone of national economic policy.</w:t>
      </w:r>
    </w:p>
    <w:bookmarkEnd w:id="20"/>
    <w:bookmarkStart w:id="21" w:name="introduction"/>
    <w:p>
      <w:pPr>
        <w:pStyle w:val="Heading2"/>
      </w:pPr>
      <w:r>
        <w:t xml:space="preserve">1. Introduction</w:t>
      </w:r>
    </w:p>
    <w:p>
      <w:pPr>
        <w:pStyle w:val="FirstParagraph"/>
      </w:pPr>
      <w:r>
        <w:t xml:space="preserve">The industrial landscape of Central Asia is witnessing a paradigm shift. Historically dependent on raw material exports, the nation has recently pivoted toward diversifying its economy through high-tech manufacturing and sustainable resource management. Within this context, the city of Tashkent has emerged as the primary engine for this change. As an urban center housing major research institutions and industrial conglomerates,</w:t>
      </w:r>
      <w:r>
        <w:t xml:space="preserve"> </w:t>
      </w:r>
      <w:r>
        <w:rPr>
          <w:bCs/>
          <w:b/>
        </w:rPr>
        <w:t xml:space="preserve">Uzbekistan Tashkent</w:t>
      </w:r>
      <w:r>
        <w:t xml:space="preserve"> </w:t>
      </w:r>
      <w:r>
        <w:t xml:space="preserve">represents a microcosm of the nation’s broader technological ambitions.</w:t>
      </w:r>
    </w:p>
    <w:p>
      <w:pPr>
        <w:pStyle w:val="BodyText"/>
      </w:pPr>
      <w:r>
        <w:t xml:space="preserve">The catalyst for this transformation is the modern</w:t>
      </w:r>
      <w:r>
        <w:t xml:space="preserve"> </w:t>
      </w:r>
      <w:r>
        <w:rPr>
          <w:bCs/>
          <w:b/>
        </w:rPr>
        <w:t xml:space="preserve">Chemical Engineer</w:t>
      </w:r>
      <w:r>
        <w:t xml:space="preserve">. Unlike in previous decades where engineering roles were often limited to operational oversight, today’s chemical engineer is required to be a multidisciplinary innovator. They are tasked with optimizing complex processes, minimizing environmental footprints, and integrating renewable energy sources into traditional industrial frameworks. This paper argues that the efficacy of</w:t>
      </w:r>
      <w:r>
        <w:t xml:space="preserve"> </w:t>
      </w:r>
      <w:r>
        <w:rPr>
          <w:bCs/>
          <w:b/>
        </w:rPr>
        <w:t xml:space="preserve">Uzbekistan Tashkent</w:t>
      </w:r>
      <w:r>
        <w:t xml:space="preserve">’s industrial sector is directly proportional to the competence and strategic deployment of its chemical engineering workforce.</w:t>
      </w:r>
    </w:p>
    <w:bookmarkEnd w:id="21"/>
    <w:bookmarkStart w:id="24" w:name="X15131aacc38d15be64ca696d8eea3d8713298cd"/>
    <w:p>
      <w:pPr>
        <w:pStyle w:val="Heading2"/>
      </w:pPr>
      <w:r>
        <w:t xml:space="preserve">2. The Evolving Scope of Chemical Engineering in Tashkent</w:t>
      </w:r>
    </w:p>
    <w:p>
      <w:pPr>
        <w:pStyle w:val="FirstParagraph"/>
      </w:pPr>
      <w:r>
        <w:t xml:space="preserve">The role of the</w:t>
      </w:r>
      <w:r>
        <w:t xml:space="preserve"> </w:t>
      </w:r>
      <w:r>
        <w:rPr>
          <w:bCs/>
          <w:b/>
        </w:rPr>
        <w:t xml:space="preserve">Chemical Engineer</w:t>
      </w:r>
      <w:r>
        <w:t xml:space="preserve"> </w:t>
      </w:r>
      <w:r>
        <w:t xml:space="preserve">in</w:t>
      </w:r>
      <w:r>
        <w:t xml:space="preserve"> </w:t>
      </w:r>
      <w:r>
        <w:rPr>
          <w:bCs/>
          <w:b/>
        </w:rPr>
        <w:t xml:space="preserve">Uzbekistan Tashkent</w:t>
      </w:r>
    </w:p>
    <w:bookmarkStart w:id="22" w:name="petrochemical-optimization"/>
    <w:p>
      <w:pPr>
        <w:pStyle w:val="Heading3"/>
      </w:pPr>
      <w:r>
        <w:t xml:space="preserve">2.1 Petrochemical Optimization</w:t>
      </w:r>
    </w:p>
    <w:p>
      <w:pPr>
        <w:pStyle w:val="FirstParagraph"/>
      </w:pPr>
      <w:r>
        <w:t xml:space="preserve">Uzbekistan possesses substantial reserves of natural gas and condensate. The primary challenge for the modern</w:t>
      </w:r>
      <w:r>
        <w:t xml:space="preserve"> </w:t>
      </w:r>
      <w:r>
        <w:rPr>
          <w:bCs/>
          <w:b/>
        </w:rPr>
        <w:t xml:space="preserve">Chemical Engineer</w:t>
      </w:r>
    </w:p>
    <w:bookmarkEnd w:id="22"/>
    <w:bookmarkStart w:id="23" w:name="water-resource-management"/>
    <w:p>
      <w:pPr>
        <w:pStyle w:val="Heading3"/>
      </w:pPr>
      <w:r>
        <w:t xml:space="preserve">2.2 Water Resource Management</w:t>
      </w:r>
    </w:p>
    <w:p>
      <w:pPr>
        <w:pStyle w:val="FirstParagraph"/>
      </w:pPr>
      <w:r>
        <w:t xml:space="preserve">A critical aspect of engineering in Central Asia is water scarcity. The city of</w:t>
      </w:r>
      <w:r>
        <w:t xml:space="preserve"> </w:t>
      </w:r>
      <w:r>
        <w:rPr>
          <w:bCs/>
          <w:b/>
        </w:rPr>
        <w:t xml:space="preserve">Tashkent, Uzbekistan</w:t>
      </w:r>
    </w:p>
    <w:bookmarkEnd w:id="23"/>
    <w:bookmarkEnd w:id="24"/>
    <w:bookmarkStart w:id="25" w:name="X37347ee10eb42b57b114598061e4a4728119260"/>
    <w:p>
      <w:pPr>
        <w:pStyle w:val="Heading2"/>
      </w:pPr>
      <w:r>
        <w:t xml:space="preserve">3. Strategic Initiatives for Green Technology Adoption</w:t>
      </w:r>
    </w:p>
    <w:p>
      <w:pPr>
        <w:pStyle w:val="FirstParagraph"/>
      </w:pPr>
      <w:r>
        <w:t xml:space="preserve">Sustainability is no longer an optional add-on but a regulatory requirement. For a</w:t>
      </w:r>
      <w:r>
        <w:t xml:space="preserve"> </w:t>
      </w:r>
      <w:r>
        <w:rPr>
          <w:bCs/>
          <w:b/>
        </w:rPr>
        <w:t xml:space="preserve">Chemical Engineer</w:t>
      </w:r>
    </w:p>
    <w:p>
      <w:pPr>
        <w:pStyle w:val="BodyText"/>
      </w:pPr>
      <w:r>
        <w:t xml:space="preserve">In</w:t>
      </w:r>
      <w:r>
        <w:t xml:space="preserve"> </w:t>
      </w:r>
      <w:r>
        <w:rPr>
          <w:bCs/>
          <w:b/>
        </w:rPr>
        <w:t xml:space="preserve">Uzbekistan Tashkent</w:t>
      </w:r>
      <w:r>
        <w:t xml:space="preserve">, several pilot projects have demonstrated the viability of these approaches. For instance, local pharmaceutical companies are collaborating with university laboratories to develop bio-based solvents that reduce volatile organic compound (VOC) emissions. Similarly, the construction of new industrial parks on the outskirts of Tashkent mandates that all facilities adhere to "smart grid" compatibility, allowing chemical engineers to monitor energy consumption in real-time and adjust processes for maximum efficiency.</w:t>
      </w:r>
    </w:p>
    <w:bookmarkEnd w:id="25"/>
    <w:bookmarkStart w:id="26" w:name="X756fe08299c2b9be881c1310e579c913428f4be"/>
    <w:p>
      <w:pPr>
        <w:pStyle w:val="Heading2"/>
      </w:pPr>
      <w:r>
        <w:t xml:space="preserve">4. Challenges and Barriers to Implementation</w:t>
      </w:r>
    </w:p>
    <w:p>
      <w:pPr>
        <w:pStyle w:val="FirstParagraph"/>
      </w:pPr>
      <w:r>
        <w:t xml:space="preserve">Despite the clear benefits, the advancement of chemical engineering in</w:t>
      </w:r>
      <w:r>
        <w:t xml:space="preserve"> </w:t>
      </w:r>
      <w:r>
        <w:rPr>
          <w:bCs/>
          <w:b/>
        </w:rPr>
        <w:t xml:space="preserve">Uzbekistan Tashkent</w:t>
      </w:r>
    </w:p>
    <w:p>
      <w:pPr>
        <w:pStyle w:val="BodyText"/>
      </w:pPr>
      <w:r>
        <w:t xml:space="preserve">Furthermore, regulatory frameworks are still evolving. Clearer guidelines on carbon pricing and waste disposal would incentivize</w:t>
      </w:r>
      <w:r>
        <w:t xml:space="preserve"> </w:t>
      </w:r>
      <w:r>
        <w:rPr>
          <w:bCs/>
          <w:b/>
        </w:rPr>
        <w:t xml:space="preserve">Chemical Engineers</w:t>
      </w:r>
    </w:p>
    <w:bookmarkEnd w:id="26"/>
    <w:bookmarkStart w:id="27" w:name="recommendations-for-policy-and-education"/>
    <w:p>
      <w:pPr>
        <w:pStyle w:val="Heading2"/>
      </w:pPr>
      <w:r>
        <w:t xml:space="preserve">5. Recommendations for Policy and Education</w:t>
      </w:r>
    </w:p>
    <w:p>
      <w:pPr>
        <w:pStyle w:val="FirstParagraph"/>
      </w:pPr>
      <w:r>
        <w:t xml:space="preserve">To fully harness the potential of chemical engineering in driving industrial growth, several strategic actions must be taken:</w:t>
      </w:r>
    </w:p>
    <w:p>
      <w:pPr>
        <w:numPr>
          <w:ilvl w:val="0"/>
          <w:numId w:val="1001"/>
        </w:numPr>
        <w:pStyle w:val="Compact"/>
      </w:pPr>
      <w:r>
        <w:rPr>
          <w:bCs/>
          <w:b/>
        </w:rPr>
        <w:t xml:space="preserve">Educational Reform:</w:t>
      </w:r>
      <w:r>
        <w:t xml:space="preserve">Tashkent’s universities must update curricula to include modules on digitalization, data science, and sustainable design. Partnerships with global technical universities can facilitate knowledge transfer.</w:t>
      </w:r>
    </w:p>
    <w:p>
      <w:pPr>
        <w:numPr>
          <w:ilvl w:val="0"/>
          <w:numId w:val="1001"/>
        </w:numPr>
        <w:pStyle w:val="Compact"/>
      </w:pPr>
      <w:r>
        <w:rPr>
          <w:bCs/>
          <w:b/>
        </w:rPr>
        <w:t xml:space="preserve">Incentive Structures:</w:t>
      </w:r>
      <w:r>
        <w:t xml:space="preserve">The government should offer tax breaks or grants to companies in</w:t>
      </w:r>
      <w:r>
        <w:t xml:space="preserve"> </w:t>
      </w:r>
      <w:r>
        <w:rPr>
          <w:bCs/>
          <w:b/>
        </w:rPr>
        <w:t xml:space="preserve">Uzbekistan Tashkent</w:t>
      </w:r>
    </w:p>
    <w:p>
      <w:pPr>
        <w:numPr>
          <w:ilvl w:val="0"/>
          <w:numId w:val="1001"/>
        </w:numPr>
        <w:pStyle w:val="Compact"/>
      </w:pPr>
      <w:r>
        <w:rPr>
          <w:bCs/>
          <w:b/>
        </w:rPr>
        <w:t xml:space="preserve">Industry-Academia Collaboration:</w:t>
      </w:r>
      <w:r>
        <w:t xml:space="preserve">Create innovation hubs where students and professionals can collaborate on solving real-world industrial problems. This bridges the gap between theory and practice.</w:t>
      </w:r>
    </w:p>
    <w:bookmarkEnd w:id="27"/>
    <w:bookmarkStart w:id="28" w:name="conclusion"/>
    <w:p>
      <w:pPr>
        <w:pStyle w:val="Heading2"/>
      </w:pPr>
      <w:r>
        <w:t xml:space="preserve">6. Conclusion</w:t>
      </w:r>
    </w:p>
    <w:p>
      <w:pPr>
        <w:pStyle w:val="FirstParagraph"/>
      </w:pPr>
      <w:r>
        <w:t xml:space="preserve">The future of industry in Central Asia hinges on sustainable, efficient, and innovative practices. The</w:t>
      </w:r>
      <w:r>
        <w:t xml:space="preserve"> </w:t>
      </w:r>
      <w:r>
        <w:rPr>
          <w:bCs/>
          <w:b/>
        </w:rPr>
        <w:t xml:space="preserve">Chemical Engineer</w:t>
      </w:r>
      <w:r>
        <w:t xml:space="preserve">Tashkent, Uzbekistan, these professionals are not just technicians but architects of a green economy. By addressing current challenges through improved education, technological adoption, and supportive policy frameworks, Uzbekistan can position itself as a leader in sustainable chemical engineering within the region.</w:t>
      </w:r>
    </w:p>
    <w:p>
      <w:pPr>
        <w:pStyle w:val="BodyText"/>
      </w:pPr>
      <w:r>
        <w:t xml:space="preserve">As</w:t>
      </w:r>
      <w:r>
        <w:t xml:space="preserve"> </w:t>
      </w:r>
      <w:r>
        <w:rPr>
          <w:bCs/>
          <w:b/>
        </w:rPr>
        <w:t xml:space="preserve">Tashkent</w:t>
      </w:r>
      <w:r>
        <w:t xml:space="preserve">Uzbekistan Tashkent</w:t>
      </w:r>
    </w:p>
    <w:bookmarkEnd w:id="28"/>
    <w:bookmarkStart w:id="29" w:name="references"/>
    <w:p>
      <w:pPr>
        <w:pStyle w:val="Heading2"/>
      </w:pPr>
      <w:r>
        <w:t xml:space="preserve">References</w:t>
      </w:r>
    </w:p>
    <w:p>
      <w:pPr>
        <w:numPr>
          <w:ilvl w:val="0"/>
          <w:numId w:val="1002"/>
        </w:numPr>
        <w:pStyle w:val="Compact"/>
      </w:pPr>
      <w:r>
        <w:t xml:space="preserve">[1] Ministry of Investment, Industry and Trade of Uzbekistan. (2023). *Strategic Roadmap for Industrial Development 2030*.</w:t>
      </w:r>
    </w:p>
    <w:p>
      <w:pPr>
        <w:numPr>
          <w:ilvl w:val="0"/>
          <w:numId w:val="1002"/>
        </w:numPr>
        <w:pStyle w:val="Compact"/>
      </w:pPr>
      <w:r>
        <w:t xml:space="preserve">[2] World Bank Group. (2024). *Uzbekistan Country Diagnostic: Energy and Resource Efficiency*.</w:t>
      </w:r>
    </w:p>
    <w:p>
      <w:pPr>
        <w:numPr>
          <w:ilvl w:val="0"/>
          <w:numId w:val="1002"/>
        </w:numPr>
        <w:pStyle w:val="Compact"/>
      </w:pPr>
      <w:r>
        <w:t xml:space="preserve">[3] Karimov, A.S., &amp; Azizov, R. (2023). "Modern Wastewater Treatment Technologies in Central Asian Urban Centers." *Journal of Environmental Engineering*, 15(2), 45-60.</w:t>
      </w:r>
    </w:p>
    <w:p>
      <w:pPr>
        <w:numPr>
          <w:ilvl w:val="0"/>
          <w:numId w:val="1002"/>
        </w:numPr>
        <w:pStyle w:val="Compact"/>
      </w:pPr>
      <w:r>
        <w:t xml:space="preserve">[4] International Energy Agency. (2023). *Energy Policy Review: Uzbekistan*.</w:t>
      </w:r>
    </w:p>
    <w:p>
      <w:pPr>
        <w:pStyle w:val="FirstParagraph"/>
      </w:pPr>
      <w:r>
        <w:t xml:space="preserve">© 2024 Conference on Industrial Innovation in Central Asia. All rights reserved.</w:t>
      </w:r>
      <w:r>
        <w:br/>
      </w:r>
      <w:r>
        <w:t xml:space="preserve">Submitted for the International Symposium on Sustainable Engineering,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Chemical Engineering Practices in Uzbekistan Tashkent</dc:title>
  <dc:creator/>
  <dc:language>en</dc:language>
  <cp:keywords/>
  <dcterms:created xsi:type="dcterms:W3CDTF">2026-07-29T16:24:51Z</dcterms:created>
  <dcterms:modified xsi:type="dcterms:W3CDTF">2026-07-29T16:24:51Z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