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Chemists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Mumbai:</w:t>
      </w:r>
      <w:r>
        <w:t xml:space="preserve"> </w:t>
      </w:r>
      <w:r>
        <w:t xml:space="preserve">Bridging</w:t>
      </w:r>
      <w:r>
        <w:t xml:space="preserve"> </w:t>
      </w:r>
      <w:r>
        <w:t xml:space="preserve">Regulatory</w:t>
      </w:r>
      <w:r>
        <w:t xml:space="preserve"> </w:t>
      </w:r>
      <w:r>
        <w:t xml:space="preserve">Rigor</w:t>
      </w:r>
      <w:r>
        <w:t xml:space="preserve"> </w:t>
      </w:r>
      <w:r>
        <w:t xml:space="preserve">with</w:t>
      </w:r>
      <w:r>
        <w:t xml:space="preserve"> </w:t>
      </w:r>
      <w:r>
        <w:t xml:space="preserve">Market</w:t>
      </w:r>
      <w:r>
        <w:t xml:space="preserve"> </w:t>
      </w:r>
      <w:r>
        <w:t xml:space="preserve">Dynamics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Evolution of Chemists in India Mumbai: Bridging Regulatory Rigor with Market Dynamics</dc:title>
  <dc:creator/>
  <dc:language>en</dc:language>
  <cp:keywords/>
  <dcterms:created xsi:type="dcterms:W3CDTF">2026-09-26T18:44:10Z</dcterms:created>
  <dcterms:modified xsi:type="dcterms:W3CDTF">2026-09-26T18:44:10Z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