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Chemists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Mumbai:</w:t>
      </w:r>
      <w:r>
        <w:t xml:space="preserve"> </w:t>
      </w:r>
      <w:r>
        <w:t xml:space="preserve">Bridging</w:t>
      </w:r>
      <w:r>
        <w:t xml:space="preserve"> </w:t>
      </w:r>
      <w:r>
        <w:t xml:space="preserve">Regulatory</w:t>
      </w:r>
      <w:r>
        <w:t xml:space="preserve"> </w:t>
      </w:r>
      <w:r>
        <w:t xml:space="preserve">Rigor</w:t>
      </w:r>
      <w:r>
        <w:t xml:space="preserve"> </w:t>
      </w:r>
      <w:r>
        <w:t xml:space="preserve">with</w:t>
      </w:r>
      <w:r>
        <w:t xml:space="preserve"> </w:t>
      </w:r>
      <w:r>
        <w:t xml:space="preserve">Market</w:t>
      </w:r>
      <w:r>
        <w:t xml:space="preserve"> </w:t>
      </w:r>
      <w:r>
        <w:t xml:space="preserve">Dynamics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Evolution of Chemists in India Mumbai: Bridging Regulatory Rigor with Market Dynamics</dc:title>
  <dc:creator/>
  <dc:language>en</dc:language>
  <cp:keywords/>
  <dcterms:created xsi:type="dcterms:W3CDTF">2026-07-29T20:51:12Z</dcterms:created>
  <dcterms:modified xsi:type="dcterms:W3CDTF">2026-07-29T20:51:12Z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