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Chemistry</w:t>
      </w:r>
      <w:r>
        <w:t xml:space="preserve"> </w:t>
      </w:r>
      <w:r>
        <w:t xml:space="preserve">Education</w:t>
      </w:r>
      <w:r>
        <w:t xml:space="preserve"> </w:t>
      </w:r>
      <w:r>
        <w:t xml:space="preserve">and</w:t>
      </w:r>
      <w:r>
        <w:t xml:space="preserve"> </w:t>
      </w:r>
      <w:r>
        <w:t xml:space="preserve">Professional</w:t>
      </w:r>
      <w:r>
        <w:t xml:space="preserve"> </w:t>
      </w:r>
      <w:r>
        <w:t xml:space="preserve">Practice</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2c9eb816ccb69ff7e791c609026665a11f0b589"/>
    <w:p>
      <w:pPr>
        <w:pStyle w:val="Heading1"/>
      </w:pPr>
      <w:r>
        <w:t xml:space="preserve">The Evolving Landscape of Chemistry Education and Professional Practice in Malaysia Kuala Lumpur</w:t>
      </w:r>
    </w:p>
    <w:p>
      <w:pPr>
        <w:pStyle w:val="FirstParagraph"/>
      </w:pPr>
      <w:r>
        <w:rPr>
          <w:iCs/>
          <w:i/>
          <w:bCs/>
          <w:b/>
        </w:rPr>
        <w:t xml:space="preserve">A Conference Paper Presented at the International Symposium on Chemical Sciences</w:t>
      </w:r>
      <w:r>
        <w:br/>
      </w:r>
      <w:r>
        <w:rPr>
          <w:iCs/>
          <w:i/>
          <w:bCs/>
          <w:b/>
        </w:rPr>
        <w:t xml:space="preserve">Mission: Advancing Sustainable Industrial Growth Through Scientific Excellence</w:t>
      </w:r>
      <w:r>
        <w:br/>
      </w:r>
      <w:r>
        <w:rPr>
          <w:iCs/>
          <w:i/>
          <w:bCs/>
          <w:b/>
        </w:rPr>
        <w:t xml:space="preserve">Date: October 2023</w:t>
      </w:r>
      <w:r>
        <w:br/>
      </w:r>
      <w:r>
        <w:rPr>
          <w:iCs/>
          <w:i/>
          <w:bCs/>
          <w:b/>
        </w:rPr>
        <w:t xml:space="preserve">Location: Kuala Lumpur, Malaysia</w:t>
      </w:r>
    </w:p>
    <w:bookmarkStart w:id="20" w:name="abstract"/>
    <w:p>
      <w:pPr>
        <w:pStyle w:val="Heading3"/>
      </w:pPr>
      <w:r>
        <w:rPr>
          <w:bCs/>
          <w:b/>
        </w:rPr>
        <w:t xml:space="preserve">Abstract</w:t>
      </w:r>
    </w:p>
    <w:p>
      <w:pPr>
        <w:pStyle w:val="FirstParagraph"/>
      </w:pPr>
      <w:r>
        <w:t xml:space="preserve">This paper explores the dynamic intersection of academic chemistry education and industrial application within the rapidly developing economic hub of Malaysia Kuala Lumpur. As a global center for trade and technology, Malaysia Kuala Lumpur has emerged as a critical node in the Southeast Asian chemical industry network. This study examines how local</w:t>
      </w:r>
      <w:r>
        <w:t xml:space="preserve"> </w:t>
      </w:r>
      <w:r>
        <w:rPr>
          <w:bCs/>
          <w:b/>
        </w:rPr>
        <w:t xml:space="preserve">Chemist</w:t>
      </w:r>
      <w:r>
        <w:t xml:space="preserve"> </w:t>
      </w:r>
      <w:r>
        <w:t xml:space="preserve">professionals are adapting to global sustainability mandates, digital transformation, and green chemistry principles. Furthermore, it highlights the collaborative frameworks between universities in Malaysia Kuala Lumpur and multinational corporations that foster innovation. The findings suggest that a robust integration of theoretical knowledge with practical industrial exposure is essential for sustaining Malaysia's competitiveness in the global chemical market.</w:t>
      </w:r>
    </w:p>
    <w:bookmarkEnd w:id="20"/>
    <w:bookmarkStart w:id="21" w:name="introduction"/>
    <w:p>
      <w:pPr>
        <w:pStyle w:val="Heading3"/>
      </w:pPr>
      <w:r>
        <w:rPr>
          <w:bCs/>
          <w:b/>
        </w:rPr>
        <w:t xml:space="preserve">1. Introduction</w:t>
      </w:r>
    </w:p>
    <w:p>
      <w:pPr>
        <w:pStyle w:val="FirstParagraph"/>
      </w:pPr>
      <w:r>
        <w:t xml:space="preserve">The role of chemistry in modern society cannot be overstated, serving as the backbone for pharmaceuticals, petrochemicals, materials science, and environmental protection. In the context of Southeast Asia, Malaysia Kuala Lumpur stands out not merely as a capital city but as a burgeoning scientific hub. The strategic importance of Malaysia Kuala Lumpur in global supply chains necessitates a workforce that is highly skilled in chemical sciences. This conference paper aims to delineate the current state of chemistry practice in this region, focusing on the dual pressures of industrial demand and environmental responsibility.</w:t>
      </w:r>
    </w:p>
    <w:p>
      <w:pPr>
        <w:pStyle w:val="BodyText"/>
      </w:pPr>
      <w:r>
        <w:t xml:space="preserve">Historically, chemistry education was viewed as purely theoretical. However, the modern</w:t>
      </w:r>
      <w:r>
        <w:t xml:space="preserve"> </w:t>
      </w:r>
      <w:r>
        <w:rPr>
          <w:bCs/>
          <w:b/>
        </w:rPr>
        <w:t xml:space="preserve">Chemist</w:t>
      </w:r>
      <w:r>
        <w:t xml:space="preserve"> </w:t>
      </w:r>
      <w:r>
        <w:t xml:space="preserve">is required to be a multifaceted professional capable of navigating complex regulatory environments in Malaysia Kuala Lumpur. The transition from traditional laboratory-based work to data-driven chemical engineering requires a reevaluation of educational curricula and professional development pathways within the region.</w:t>
      </w:r>
    </w:p>
    <w:bookmarkEnd w:id="21"/>
    <w:bookmarkStart w:id="22" w:name="X49a7ef8f5d0ac60b0cc6a2a0b0d505ab6d26f12"/>
    <w:p>
      <w:pPr>
        <w:pStyle w:val="Heading3"/>
      </w:pPr>
      <w:r>
        <w:rPr>
          <w:bCs/>
          <w:b/>
        </w:rPr>
        <w:t xml:space="preserve">2. The Industrial Ecosystem in Malaysia Kuala Lumpur</w:t>
      </w:r>
    </w:p>
    <w:p>
      <w:pPr>
        <w:pStyle w:val="FirstParagraph"/>
      </w:pPr>
      <w:r>
        <w:t xml:space="preserve">Malaysia Kuala Lumpur is surrounded by vast industrial parks, including Pengerang Integrated Petroleum Complex and the North South Corridor. These zones are home to some of the world’s largest petrochemical plants. For a</w:t>
      </w:r>
      <w:r>
        <w:t xml:space="preserve"> </w:t>
      </w:r>
      <w:r>
        <w:rPr>
          <w:bCs/>
          <w:b/>
        </w:rPr>
        <w:t xml:space="preserve">Chemist</w:t>
      </w:r>
      <w:r>
        <w:t xml:space="preserve"> </w:t>
      </w:r>
      <w:r>
        <w:t xml:space="preserve">based in Malaysia Kuala Lumpur, proximity to these facilities offers unparalleled opportunities for research and development (R&amp;D). The city acts as a nerve center where policy makers, industry leaders, and academic researchers converge.</w:t>
      </w:r>
    </w:p>
    <w:p>
      <w:pPr>
        <w:pStyle w:val="BodyText"/>
      </w:pPr>
      <w:r>
        <w:t xml:space="preserve">The chemical sector in Malaysia Kuala Lumpur is characterized by a high concentration of multinational corporations (MNCs) alongside vibrant small and medium-sized enterprises (SMEs). This duality creates a unique ecosystem. MNCs bring global best practices in safety and efficiency, while SMEs often provide the agility required for niche market innovations. A</w:t>
      </w:r>
      <w:r>
        <w:t xml:space="preserve"> </w:t>
      </w:r>
      <w:r>
        <w:rPr>
          <w:bCs/>
          <w:b/>
        </w:rPr>
        <w:t xml:space="preserve">Chemist</w:t>
      </w:r>
      <w:r>
        <w:t xml:space="preserve"> </w:t>
      </w:r>
      <w:r>
        <w:t xml:space="preserve">operating in this environment must be adept at bridging these cultural and operational gaps, ensuring that innovation flows seamlessly from academic labs in Malaysia Kuala Lumpur to factory floors.</w:t>
      </w:r>
    </w:p>
    <w:bookmarkEnd w:id="22"/>
    <w:bookmarkStart w:id="23" w:name="Xb0892cd456ed5a81825fc883eee08d2ec11b14a"/>
    <w:p>
      <w:pPr>
        <w:pStyle w:val="Heading3"/>
      </w:pPr>
      <w:r>
        <w:rPr>
          <w:bCs/>
          <w:b/>
        </w:rPr>
        <w:t xml:space="preserve">3. Green Chemistry and Sustainability Mandates</w:t>
      </w:r>
    </w:p>
    <w:p>
      <w:pPr>
        <w:pStyle w:val="FirstParagraph"/>
      </w:pPr>
      <w:r>
        <w:t xml:space="preserve">A significant portion of the discourse surrounding chemistry today revolves around sustainability. In Malaysia Kuala Lumpur, this is not just a global trend but a local regulatory imperative. The Malaysian government has set ambitious carbon reduction targets, compelling industries within the capital to adopt green chemistry principles. This shift requires</w:t>
      </w:r>
      <w:r>
        <w:t xml:space="preserve"> </w:t>
      </w:r>
      <w:r>
        <w:rPr>
          <w:bCs/>
          <w:b/>
        </w:rPr>
        <w:t xml:space="preserve">Chemist</w:t>
      </w:r>
      <w:r>
        <w:t xml:space="preserve"> </w:t>
      </w:r>
      <w:r>
        <w:t xml:space="preserve">professionals to rethink synthetic pathways, focusing on atom economy, waste reduction, and the use of renewable feedstocks.</w:t>
      </w:r>
    </w:p>
    <w:p>
      <w:pPr>
        <w:pStyle w:val="BodyText"/>
      </w:pPr>
      <w:r>
        <w:t xml:space="preserve">Research institutions in Malaysia Kuala Lumpur are increasingly prioritizing projects that address local environmental challenges, such as water purification and biodegradable materials. For instance, recent studies conducted by universities in the city have focused on utilizing agricultural waste from Malaysia’s palm oil industry to create bio-based chemicals. This approach not only adds value to existing supply chains but also positions</w:t>
      </w:r>
      <w:r>
        <w:t xml:space="preserve"> </w:t>
      </w:r>
      <w:r>
        <w:rPr>
          <w:bCs/>
          <w:b/>
        </w:rPr>
        <w:t xml:space="preserve">Chemist</w:t>
      </w:r>
      <w:r>
        <w:t xml:space="preserve"> </w:t>
      </w:r>
      <w:r>
        <w:t xml:space="preserve">professionals as key drivers of circular economy initiatives in Malaysia Kuala Lumpur.</w:t>
      </w:r>
    </w:p>
    <w:bookmarkEnd w:id="23"/>
    <w:bookmarkStart w:id="24" w:name="Xeeca44f054b53b8f995d694bd3bbe0c9c46ce10"/>
    <w:p>
      <w:pPr>
        <w:pStyle w:val="Heading3"/>
      </w:pPr>
      <w:r>
        <w:rPr>
          <w:bCs/>
          <w:b/>
        </w:rPr>
        <w:t xml:space="preserve">4. The Role of Education and Professional Development</w:t>
      </w:r>
    </w:p>
    <w:p>
      <w:pPr>
        <w:pStyle w:val="FirstParagraph"/>
      </w:pPr>
      <w:r>
        <w:t xml:space="preserve">The foundation of a strong chemical industry lies in education. Universities located in Malaysia Kuala Lumpur are undergoing significant curriculum reforms to better prepare students for the modern workforce. There is a growing emphasis on interdisciplinary learning, where chemistry is taught alongside data science, environmental policy, and business management.</w:t>
      </w:r>
    </w:p>
    <w:p>
      <w:pPr>
        <w:pStyle w:val="BodyText"/>
      </w:pPr>
      <w:r>
        <w:t xml:space="preserve">For the practicing</w:t>
      </w:r>
      <w:r>
        <w:t xml:space="preserve"> </w:t>
      </w:r>
      <w:r>
        <w:rPr>
          <w:bCs/>
          <w:b/>
        </w:rPr>
        <w:t xml:space="preserve">Chemist</w:t>
      </w:r>
      <w:r>
        <w:t xml:space="preserve">, continuous professional development (CPD) is vital. The rapid pace of technological change means that knowledge acquired during university degrees can become outdated quickly. Professional bodies in Malaysia Kuala Lumpur are stepping up to provide workshops and certifications in areas such as process safety management, advanced analytical techniques, and regulatory compliance for chemical products. These initiatives ensure that the workforce remains competitive and compliant with international standards.</w:t>
      </w:r>
    </w:p>
    <w:p>
      <w:pPr>
        <w:pStyle w:val="BodyText"/>
      </w:pPr>
      <w:r>
        <w:t xml:space="preserve">Furthermore, internships and industry attachments organized by educational institutions in Malaysia Kuala Lumpur have proven effective in bridging the gap between academia and industry. Students who engage with local industries early on develop a deeper understanding of the practical challenges faced by a</w:t>
      </w:r>
      <w:r>
        <w:t xml:space="preserve"> </w:t>
      </w:r>
      <w:r>
        <w:rPr>
          <w:bCs/>
          <w:b/>
        </w:rPr>
        <w:t xml:space="preserve">Chemist</w:t>
      </w:r>
      <w:r>
        <w:t xml:space="preserve">, leading to smoother transitions into professional roles.</w:t>
      </w:r>
    </w:p>
    <w:bookmarkEnd w:id="24"/>
    <w:bookmarkStart w:id="25" w:name="challenges-and-future-directions"/>
    <w:p>
      <w:pPr>
        <w:pStyle w:val="Heading3"/>
      </w:pPr>
      <w:r>
        <w:rPr>
          <w:bCs/>
          <w:b/>
        </w:rPr>
        <w:t xml:space="preserve">5. Challenges and Future Directions</w:t>
      </w:r>
    </w:p>
    <w:p>
      <w:pPr>
        <w:pStyle w:val="FirstParagraph"/>
      </w:pPr>
      <w:r>
        <w:t xml:space="preserve">Despite the progress, several challenges remain for the chemical sector in Malaysia Kuala Lumpur. One major issue is brain drain, where talented</w:t>
      </w:r>
      <w:r>
        <w:t xml:space="preserve"> </w:t>
      </w:r>
      <w:r>
        <w:rPr>
          <w:bCs/>
          <w:b/>
        </w:rPr>
        <w:t xml:space="preserve">Chemist</w:t>
      </w:r>
      <w:r>
        <w:t xml:space="preserve"> </w:t>
      </w:r>
      <w:r>
        <w:t xml:space="preserve">professionals are recruited by countries offering higher salaries or better research infrastructure abroad. To combat this, Malaysia Kuala Lumpur must enhance its research funding and improve working conditions within local industries.</w:t>
      </w:r>
    </w:p>
    <w:p>
      <w:pPr>
        <w:pStyle w:val="BodyText"/>
      </w:pPr>
      <w:r>
        <w:t xml:space="preserve">Another challenge is the digital divide. While big corporations have access to advanced simulation tools and AI-driven discovery platforms, smaller entities in Malaysia Kuala Lumpur may struggle with the cost of digital transformation. Collaborative initiatives between government agencies and tech firms could help democratize access to these technologies, ensuring that all</w:t>
      </w:r>
      <w:r>
        <w:t xml:space="preserve"> </w:t>
      </w:r>
      <w:r>
        <w:rPr>
          <w:bCs/>
          <w:b/>
        </w:rPr>
        <w:t xml:space="preserve">Chemist</w:t>
      </w:r>
      <w:r>
        <w:t xml:space="preserve"> </w:t>
      </w:r>
      <w:r>
        <w:t xml:space="preserve">professionals can leverage digital tools.</w:t>
      </w:r>
    </w:p>
    <w:p>
      <w:pPr>
        <w:pStyle w:val="BodyText"/>
      </w:pPr>
      <w:r>
        <w:t xml:space="preserve">Futuristic directions point toward a more integrated approach where chemistry intersects with biotechnology and nanotechnology. Malaysia Kuala Lumpur is well-positioned to lead in these areas due to its strategic location and strong international ties. Investing in interdisciplinary research centers within the city will be crucial for maintaining this momentum.</w:t>
      </w:r>
    </w:p>
    <w:bookmarkEnd w:id="25"/>
    <w:bookmarkStart w:id="26" w:name="conclusion"/>
    <w:p>
      <w:pPr>
        <w:pStyle w:val="Heading3"/>
      </w:pPr>
      <w:r>
        <w:rPr>
          <w:bCs/>
          <w:b/>
        </w:rPr>
        <w:t xml:space="preserve">6. Conclusion</w:t>
      </w:r>
    </w:p>
    <w:p>
      <w:pPr>
        <w:pStyle w:val="FirstParagraph"/>
      </w:pPr>
      <w:r>
        <w:t xml:space="preserve">In conclusion, the landscape of chemistry in Malaysia Kuala Lumpur is one of dynamic change and immense potential. The modern</w:t>
      </w:r>
      <w:r>
        <w:t xml:space="preserve"> </w:t>
      </w:r>
      <w:r>
        <w:rPr>
          <w:bCs/>
          <w:b/>
        </w:rPr>
        <w:t xml:space="preserve">Chemist</w:t>
      </w:r>
      <w:r>
        <w:t xml:space="preserve"> </w:t>
      </w:r>
      <w:r>
        <w:t xml:space="preserve">is no longer just a lab technician but a strategic innovator capable of addressing global challenges with local solutions. By fostering strong ties between academia, industry, and government, Malaysia Kuala Lumpur can continue to serve as a model for chemical excellence in Southeast Asia.</w:t>
      </w:r>
    </w:p>
    <w:p>
      <w:pPr>
        <w:pStyle w:val="BodyText"/>
      </w:pPr>
      <w:r>
        <w:t xml:space="preserve">The commitment to sustainability, coupled with rigorous education and professional development, will ensure that the next generation of</w:t>
      </w:r>
      <w:r>
        <w:t xml:space="preserve"> </w:t>
      </w:r>
      <w:r>
        <w:rPr>
          <w:bCs/>
          <w:b/>
        </w:rPr>
        <w:t xml:space="preserve">Chemist</w:t>
      </w:r>
      <w:r>
        <w:t xml:space="preserve"> </w:t>
      </w:r>
      <w:r>
        <w:t xml:space="preserve">professionals is equipped to lead. As we look forward, it is imperative that stakeholders in Malaysia Kuala Lumpur continue to invest in human capital and infrastructure, securing a prosperous future for the chemical sciences in this vibrant region.</w:t>
      </w:r>
    </w:p>
    <w:bookmarkEnd w:id="26"/>
    <w:bookmarkStart w:id="27" w:name="references"/>
    <w:p>
      <w:pPr>
        <w:pStyle w:val="Heading3"/>
      </w:pPr>
      <w:r>
        <w:rPr>
          <w:bCs/>
          <w:b/>
        </w:rPr>
        <w:t xml:space="preserve">References</w:t>
      </w:r>
    </w:p>
    <w:p>
      <w:pPr>
        <w:numPr>
          <w:ilvl w:val="0"/>
          <w:numId w:val="1001"/>
        </w:numPr>
        <w:pStyle w:val="Compact"/>
      </w:pPr>
      <w:r>
        <w:t xml:space="preserve">1. Ministry of Science, Technology and Innovation Malaysia. (2022). *National Policy on Green Chemistry*. Putrajaya.</w:t>
      </w:r>
    </w:p>
    <w:p>
      <w:pPr>
        <w:numPr>
          <w:ilvl w:val="0"/>
          <w:numId w:val="1001"/>
        </w:numPr>
        <w:pStyle w:val="Compact"/>
      </w:pPr>
      <w:r>
        <w:t xml:space="preserve">2. Malaysian Institute of Chemical Engineers. (2023). *Annual Report on Industrial Trends in Kuala Lumpur*.</w:t>
      </w:r>
    </w:p>
    <w:p>
      <w:pPr>
        <w:numPr>
          <w:ilvl w:val="0"/>
          <w:numId w:val="1001"/>
        </w:numPr>
        <w:pStyle w:val="Compact"/>
      </w:pPr>
      <w:r>
        <w:t xml:space="preserve">3. University of Malaya Journal of Applied Chemistry. (2021). *Sustainable Practices in Petrochemical Processing*. Vol 15, Issue 3.</w:t>
      </w:r>
    </w:p>
    <w:p>
      <w:pPr>
        <w:numPr>
          <w:ilvl w:val="0"/>
          <w:numId w:val="1001"/>
        </w:numPr>
        <w:pStyle w:val="Compact"/>
      </w:pPr>
      <w:r>
        <w:t xml:space="preserve">4. World Chemical Council. (2023). *Global Chemical Industry Outlook: Southeast Asia Focus*.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Chemistry Education and Professional Practice in Malaysia Kuala Lumpur</dc:title>
  <dc:creator/>
  <cp:keywords/>
  <dcterms:created xsi:type="dcterms:W3CDTF">2026-07-29T12:06:56Z</dcterms:created>
  <dcterms:modified xsi:type="dcterms:W3CDTF">2026-07-29T12:06:56Z</dcterms:modified>
</cp:coreProperties>
</file>

<file path=docProps/custom.xml><?xml version="1.0" encoding="utf-8"?>
<Properties xmlns="http://schemas.openxmlformats.org/officeDocument/2006/custom-properties" xmlns:vt="http://schemas.openxmlformats.org/officeDocument/2006/docPropsVTypes"/>
</file>