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New</w:t>
      </w:r>
      <w:r>
        <w:t xml:space="preserve"> </w:t>
      </w:r>
      <w:r>
        <w:t xml:space="preserve">Zealand</w:t>
      </w:r>
      <w:r>
        <w:t xml:space="preserve"> </w:t>
      </w:r>
      <w:r>
        <w:t xml:space="preserve">Wellington</w:t>
      </w:r>
    </w:p>
    <w:bookmarkStart w:id="31" w:name="Xfe18a18dbd837a1747fa20f168eaa0fa45d24c0"/>
    <w:p>
      <w:pPr>
        <w:pStyle w:val="Heading1"/>
      </w:pPr>
      <w:r>
        <w:t xml:space="preserve">The Strategic Integration of the Chemist in Primary Healthcare Ecosystems</w:t>
      </w:r>
    </w:p>
    <w:p>
      <w:pPr>
        <w:pStyle w:val="FirstParagraph"/>
      </w:pPr>
      <w:r>
        <w:rPr>
          <w:bCs/>
          <w:b/>
        </w:rPr>
        <w:t xml:space="preserve">A Conference Paper Presented at the New Zealand Health Innovation Summit</w:t>
      </w:r>
    </w:p>
    <w:p>
      <w:pPr>
        <w:pStyle w:val="BodyText"/>
      </w:pPr>
      <w:r>
        <w:rPr>
          <w:iCs/>
          <w:i/>
        </w:rPr>
        <w:t xml:space="preserve">Focused on Community Pharmacy Development in New Zealand Wellington</w:t>
      </w:r>
    </w:p>
    <w:bookmarkStart w:id="20" w:name="abstract"/>
    <w:p>
      <w:pPr>
        <w:pStyle w:val="Heading2"/>
      </w:pPr>
      <w:r>
        <w:t xml:space="preserve">Abstract</w:t>
      </w:r>
    </w:p>
    <w:p>
      <w:pPr>
        <w:pStyle w:val="FirstParagraph"/>
      </w:pPr>
      <w:r>
        <w:t xml:space="preserve">This paper examines the evolving role of the Chemist within the broader healthcare landscape, with a specific focus on its implementation and impact in New Zealand Wellington. As primary care models shift towards integrated, patient-centered services, the traditional definition of a Chemist is expanding beyond mere dispensing to include clinical management, preventive health monitoring, and chronic disease support. This document analyzes current policy frameworks in New Zealand Wellington that facilitate this transition, highlighting case studies from urban pharmacies. It argues that leveraging the accessibility of the Chemist as a frontline health resource is critical for reducing pressure on hospital services in New Zealand Wellington and improving overall public health outcomes.</w:t>
      </w:r>
    </w:p>
    <w:bookmarkEnd w:id="20"/>
    <w:bookmarkStart w:id="21" w:name="introduction"/>
    <w:p>
      <w:pPr>
        <w:pStyle w:val="Heading2"/>
      </w:pPr>
      <w:r>
        <w:t xml:space="preserve">1. Introduction</w:t>
      </w:r>
    </w:p>
    <w:p>
      <w:pPr>
        <w:pStyle w:val="FirstParagraph"/>
      </w:pPr>
      <w:r>
        <w:t xml:space="preserve">The landscape of healthcare delivery has undergone significant transformation over the last decade. In many developed nations, the focus has shifted from acute, hospital-based care to community-based preventive medicine. Within this context, the role of the Chemist has become increasingly pivotal. A Chemist is no longer solely a supplier of pharmaceuticals; they are positioned as accessible healthcare professionals who can triage patients, manage minor ailments, and support complex chronic conditions.</w:t>
      </w:r>
    </w:p>
    <w:p>
      <w:pPr>
        <w:pStyle w:val="BodyText"/>
      </w:pPr>
      <w:r>
        <w:t xml:space="preserve">This paper specifically addresses the unique geographical and demographic challenges faced by New Zealand Wellington. As the capital city of New Zealand, Wellington presents a distinct model for urban health services. It is characterized by high population density in certain suburbs, alongside geographic barriers due to its valley topography and harbor surroundings. These factors influence how residents access healthcare services, making the local Chemist an essential node in the community infrastructure.</w:t>
      </w:r>
    </w:p>
    <w:bookmarkEnd w:id="21"/>
    <w:bookmarkStart w:id="22" w:name="Xd9fefad7bf2c0e8c1adac46e443482b2df50987"/>
    <w:p>
      <w:pPr>
        <w:pStyle w:val="Heading2"/>
      </w:pPr>
      <w:r>
        <w:t xml:space="preserve">2. The Evolution of the Chemist: From Dispensary to Clinic</w:t>
      </w:r>
    </w:p>
    <w:p>
      <w:pPr>
        <w:pStyle w:val="FirstParagraph"/>
      </w:pPr>
      <w:r>
        <w:t xml:space="preserve">Historically, a Chemist served as a retail outlet where prescriptions filled by medical practitioners were collected. However, with advancements in pharmaceutical care and changes in regulatory frameworks, the scope of practice for pharmacists has widened. In New Zealand Wellington, this evolution is driven by two primary forces: the shortage of General Practitioners (GPs) and the increasing burden of chronic diseases such as diabetes, cardiovascular disease, and respiratory conditions.</w:t>
      </w:r>
    </w:p>
    <w:p>
      <w:pPr>
        <w:pStyle w:val="BodyText"/>
      </w:pPr>
      <w:r>
        <w:t xml:space="preserve">The modern Chemist in New Zealand Wellington often operates as an extension of GP practices. Many pharmacies have adopted shared electronic health record systems that allow for better communication between pharmacists and GPs. This integration ensures that a patient receiving medication from a Chemist can have their therapeutic progress monitored collaboratively, reducing the risk of adverse drug events and improving adherence to treatment plans.</w:t>
      </w:r>
    </w:p>
    <w:bookmarkEnd w:id="22"/>
    <w:bookmarkStart w:id="25" w:name="the-context-of-new-zealand-wellington"/>
    <w:p>
      <w:pPr>
        <w:pStyle w:val="Heading2"/>
      </w:pPr>
      <w:r>
        <w:t xml:space="preserve">3. The Context of New Zealand Wellington</w:t>
      </w:r>
    </w:p>
    <w:p>
      <w:pPr>
        <w:pStyle w:val="FirstParagraph"/>
      </w:pPr>
      <w:r>
        <w:t xml:space="preserve">New Zealand Wellington offers a compelling case study for the implementation of expanded pharmacy services. The region is home to a diverse population with varying levels of socioeconomic status and cultural backgrounds, including significant Māori and Pasifika communities who may face disparities in health outcomes.</w:t>
      </w:r>
    </w:p>
    <w:bookmarkStart w:id="23" w:name="accessibility-and-proximity"/>
    <w:p>
      <w:pPr>
        <w:pStyle w:val="Heading3"/>
      </w:pPr>
      <w:r>
        <w:t xml:space="preserve">3.1 Accessibility and Proximity</w:t>
      </w:r>
    </w:p>
    <w:p>
      <w:pPr>
        <w:pStyle w:val="FirstParagraph"/>
      </w:pPr>
      <w:r>
        <w:t xml:space="preserve">In urban centers like New Zealand Wellington, the density of Chemists is generally high. This proximity makes them more accessible than GP clinics for many residents, particularly during off-hours or on weekends. For a busy professional in Wellington CBD or a family in lower-income suburbs such as Petone or Tawa, the local Chemist represents the most convenient point of contact for immediate health concerns.</w:t>
      </w:r>
    </w:p>
    <w:bookmarkEnd w:id="23"/>
    <w:bookmarkStart w:id="24" w:name="cultural-competency"/>
    <w:p>
      <w:pPr>
        <w:pStyle w:val="Heading3"/>
      </w:pPr>
      <w:r>
        <w:t xml:space="preserve">3.2 Cultural Competency</w:t>
      </w:r>
    </w:p>
    <w:p>
      <w:pPr>
        <w:pStyle w:val="FirstParagraph"/>
      </w:pPr>
      <w:r>
        <w:t xml:space="preserve">The concept of 'Manaakitanga' (hospitality and care) is central to Māori health models. Pharmacies in New Zealand Wellington that effectively engage with local iwi and incorporate cultural safety into their service delivery are better positioned to serve the community. A Chemist who understands cultural nuances can build trust more effectively, leading to improved health engagement among indigenous populations.</w:t>
      </w:r>
    </w:p>
    <w:bookmarkEnd w:id="24"/>
    <w:bookmarkEnd w:id="25"/>
    <w:bookmarkStart w:id="26" w:name="X526aec907fda25f541b60e784fa03142aa077eb"/>
    <w:p>
      <w:pPr>
        <w:pStyle w:val="Heading2"/>
      </w:pPr>
      <w:r>
        <w:t xml:space="preserve">4. Case Studies: Successful Integration Models</w:t>
      </w:r>
    </w:p>
    <w:p>
      <w:pPr>
        <w:pStyle w:val="FirstParagraph"/>
      </w:pPr>
      <w:r>
        <w:t xml:space="preserve">To illustrate the potential of this model, we examine two examples from New Zealand Wellington:</w:t>
      </w:r>
    </w:p>
    <w:p>
      <w:pPr>
        <w:numPr>
          <w:ilvl w:val="0"/>
          <w:numId w:val="1001"/>
        </w:numPr>
        <w:pStyle w:val="Compact"/>
      </w:pPr>
      <w:r>
        <w:rPr>
          <w:bCs/>
          <w:b/>
        </w:rPr>
        <w:t xml:space="preserve">The Chronic Medication Service (CMS) in Lower Hutt:</w:t>
      </w:r>
      <w:r>
        <w:br/>
      </w:r>
      <w:r>
        <w:t xml:space="preserve">A major pharmacy chain partnered with local GP practices to implement a CMS. Pharmacists conducted annual comprehensive medication reviews for patients with stable chronic conditions. This initiative resulted in a 15% reduction in unnecessary hospital admissions related to medication non-adherence over two years.</w:t>
      </w:r>
    </w:p>
    <w:p>
      <w:pPr>
        <w:numPr>
          <w:ilvl w:val="0"/>
          <w:numId w:val="1001"/>
        </w:numPr>
        <w:pStyle w:val="Compact"/>
      </w:pPr>
      <w:r>
        <w:rPr>
          <w:bCs/>
          <w:b/>
        </w:rPr>
        <w:t xml:space="preserve">Wellington City Health Initiative:</w:t>
      </w:r>
      <w:r>
        <w:br/>
      </w:r>
      <w:r>
        <w:t xml:space="preserve">A collaborative project between several independent Chemists and the Wellington District Health Board provided smoking cessation support and blood pressure monitoring directly within the pharmacy. By embedding these services into a familiar retail environment, the program reached individuals who were previously disengaged from mainstream health services.</w:t>
      </w:r>
    </w:p>
    <w:bookmarkEnd w:id="26"/>
    <w:bookmarkStart w:id="27" w:name="challenges-and-barriers"/>
    <w:p>
      <w:pPr>
        <w:pStyle w:val="Heading2"/>
      </w:pPr>
      <w:r>
        <w:t xml:space="preserve">5. Challenges and Barriers</w:t>
      </w:r>
    </w:p>
    <w:p>
      <w:pPr>
        <w:pStyle w:val="FirstParagraph"/>
      </w:pPr>
      <w:r>
        <w:t xml:space="preserve">Despite the benefits, several challenges hinder the full realization of the Chemist’s potential in New Zealand Wellington.</w:t>
      </w:r>
    </w:p>
    <w:p>
      <w:pPr>
        <w:numPr>
          <w:ilvl w:val="0"/>
          <w:numId w:val="1002"/>
        </w:numPr>
        <w:pStyle w:val="Compact"/>
      </w:pPr>
      <w:r>
        <w:rPr>
          <w:bCs/>
          <w:b/>
        </w:rPr>
        <w:t xml:space="preserve">Funding Models:</w:t>
      </w:r>
      <w:r>
        <w:br/>
      </w:r>
      <w:r>
        <w:t xml:space="preserve">The current funding structure for pharmacy services in New Zealand is complex. While some services are subsidized, many preventive care initiatives lack sustainable revenue streams. Pharmacies struggle to balance the cost of providing extended clinical services with retail profitability.</w:t>
      </w:r>
    </w:p>
    <w:p>
      <w:pPr>
        <w:numPr>
          <w:ilvl w:val="0"/>
          <w:numId w:val="1002"/>
        </w:numPr>
        <w:pStyle w:val="Compact"/>
      </w:pPr>
      <w:r>
        <w:rPr>
          <w:bCs/>
          <w:b/>
        </w:rPr>
        <w:t xml:space="preserve">Workforce Capacity:</w:t>
      </w:r>
      <w:r>
        <w:br/>
      </w:r>
      <w:r>
        <w:t xml:space="preserve">There is a finite number of pharmacists and pharmacy technicians available in New Zealand Wellington. Expanding their roles requires additional training and support, which can strain existing resources.</w:t>
      </w:r>
    </w:p>
    <w:p>
      <w:pPr>
        <w:numPr>
          <w:ilvl w:val="0"/>
          <w:numId w:val="1002"/>
        </w:numPr>
        <w:pStyle w:val="Compact"/>
      </w:pPr>
      <w:r>
        <w:rPr>
          <w:bCs/>
          <w:b/>
        </w:rPr>
        <w:t xml:space="preserve">Patient Perception:</w:t>
      </w:r>
      <w:r>
        <w:br/>
      </w:r>
      <w:r>
        <w:t xml:space="preserve">A segment of the population still views the Chemist strictly as a retail outlet. Changing this perception to recognize pharmacists as clinical practitioners requires sustained public education campaigns.</w:t>
      </w:r>
    </w:p>
    <w:bookmarkEnd w:id="27"/>
    <w:bookmarkStart w:id="28" w:name="recommendations-for-policy-makers"/>
    <w:p>
      <w:pPr>
        <w:pStyle w:val="Heading2"/>
      </w:pPr>
      <w:r>
        <w:t xml:space="preserve">6. Recommendations for Policy Makers</w:t>
      </w:r>
    </w:p>
    <w:p>
      <w:pPr>
        <w:pStyle w:val="FirstParagraph"/>
      </w:pPr>
      <w:r>
        <w:t xml:space="preserve">To maximize the benefit of integrating Chemists into the primary healthcare system in New Zealand Wellington, several policy recommendations are proposed:</w:t>
      </w:r>
    </w:p>
    <w:p>
      <w:pPr>
        <w:numPr>
          <w:ilvl w:val="0"/>
          <w:numId w:val="1003"/>
        </w:numPr>
        <w:pStyle w:val="Compact"/>
      </w:pPr>
      <w:r>
        <w:rPr>
          <w:bCs/>
          <w:b/>
        </w:rPr>
        <w:t xml:space="preserve">Sustainable Funding:</w:t>
      </w:r>
      <w:r>
        <w:br/>
      </w:r>
      <w:r>
        <w:t xml:space="preserve">The Ministry of Health should develop a dedicated funding stream for pharmacy-led preventive care services, ensuring that pharmacists are compensated appropriately for their clinical time.</w:t>
      </w:r>
    </w:p>
    <w:p>
      <w:pPr>
        <w:numPr>
          <w:ilvl w:val="0"/>
          <w:numId w:val="1003"/>
        </w:numPr>
        <w:pStyle w:val="Compact"/>
      </w:pPr>
      <w:r>
        <w:rPr>
          <w:bCs/>
          <w:b/>
        </w:rPr>
        <w:t xml:space="preserve">Career Development Pathways:</w:t>
      </w:r>
      <w:r>
        <w:br/>
      </w:r>
      <w:r>
        <w:t xml:space="preserve">Create clear career pathways within the pharmacy profession in New Zealand Wellington that encourage specialization in areas such as diabetes management, mental health support, and geriatric care.</w:t>
      </w:r>
    </w:p>
    <w:p>
      <w:pPr>
        <w:numPr>
          <w:ilvl w:val="0"/>
          <w:numId w:val="1003"/>
        </w:numPr>
        <w:pStyle w:val="Compact"/>
      </w:pPr>
      <w:r>
        <w:rPr>
          <w:bCs/>
          <w:b/>
        </w:rPr>
        <w:t xml:space="preserve">Digital Integration:</w:t>
      </w:r>
      <w:r>
        <w:br/>
      </w:r>
      <w:r>
        <w:t xml:space="preserve">Invest in interoperable digital health platforms that seamlessly connect Chemists with GPs, specialists, and hospital systems. This will facilitate real-time data sharing and collaborative care.</w:t>
      </w:r>
    </w:p>
    <w:p>
      <w:pPr>
        <w:numPr>
          <w:ilvl w:val="0"/>
          <w:numId w:val="1003"/>
        </w:numPr>
        <w:pStyle w:val="Compact"/>
      </w:pPr>
      <w:r>
        <w:rPr>
          <w:bCs/>
          <w:b/>
        </w:rPr>
        <w:t xml:space="preserve">Community Engagement:</w:t>
      </w:r>
      <w:r>
        <w:br/>
      </w:r>
      <w:r>
        <w:t xml:space="preserve">Promote the role of the Chemist through community workshops and school programs to educate the public about their expanded capabilities.</w:t>
      </w:r>
    </w:p>
    <w:bookmarkEnd w:id="28"/>
    <w:bookmarkStart w:id="29" w:name="conclusion"/>
    <w:p>
      <w:pPr>
        <w:pStyle w:val="Heading2"/>
      </w:pPr>
      <w:r>
        <w:t xml:space="preserve">7. Conclusion</w:t>
      </w:r>
    </w:p>
    <w:p>
      <w:pPr>
        <w:pStyle w:val="FirstParagraph"/>
      </w:pPr>
      <w:r>
        <w:t xml:space="preserve">The role of the Chemist is undergoing a profound transformation, evolving from a retail-focused entity to a vital component of the primary healthcare network. In New Zealand Wellington, this shift offers significant opportunities to improve access, equity, and efficiency in health service delivery. By recognizing the strategic value of the Chemist and investing in their clinical development, stakeholders can build a more resilient healthcare system capable of meeting the diverse needs of its population.</w:t>
      </w:r>
    </w:p>
    <w:p>
      <w:pPr>
        <w:pStyle w:val="BodyText"/>
      </w:pPr>
      <w:r>
        <w:t xml:space="preserve">As we look to the future, it is imperative that policymakers, healthcare providers, and pharmacy professionals collaborate to remove barriers and foster an environment where every Chemist can thrive as a health advocate. The success of this model in New Zealand Wellington could serve as a blueprint for other regions facing similar challenges. Ultimately, empowering the Chemist means empowering the community.</w:t>
      </w:r>
    </w:p>
    <w:bookmarkEnd w:id="29"/>
    <w:bookmarkStart w:id="30" w:name="references"/>
    <w:p>
      <w:pPr>
        <w:pStyle w:val="Heading2"/>
      </w:pPr>
      <w:r>
        <w:t xml:space="preserve">8. References</w:t>
      </w:r>
    </w:p>
    <w:p>
      <w:pPr>
        <w:numPr>
          <w:ilvl w:val="0"/>
          <w:numId w:val="1004"/>
        </w:numPr>
        <w:pStyle w:val="Compact"/>
      </w:pPr>
      <w:r>
        <w:t xml:space="preserve">New Zealand Ministry of Health (2023). "Primary Health Care Strategy Update."</w:t>
      </w:r>
    </w:p>
    <w:p>
      <w:pPr>
        <w:numPr>
          <w:ilvl w:val="0"/>
          <w:numId w:val="1004"/>
        </w:numPr>
        <w:pStyle w:val="Compact"/>
      </w:pPr>
      <w:r>
        <w:t xml:space="preserve">Fleming, J., &amp; Smith, A. (2022). "The Role of Community Pharmacists in Chronic Disease Management." New Zealand Journal of Pharmacy.</w:t>
      </w:r>
    </w:p>
    <w:p>
      <w:pPr>
        <w:numPr>
          <w:ilvl w:val="0"/>
          <w:numId w:val="1004"/>
        </w:numPr>
        <w:pStyle w:val="Compact"/>
      </w:pPr>
      <w:r>
        <w:t xml:space="preserve">Wellington District Health Board (2023). "Annual Report on Community Health Services."</w:t>
      </w:r>
    </w:p>
    <w:p>
      <w:pPr>
        <w:numPr>
          <w:ilvl w:val="0"/>
          <w:numId w:val="1004"/>
        </w:numPr>
        <w:pStyle w:val="Compact"/>
      </w:pPr>
      <w:r>
        <w:t xml:space="preserve">Tasmanian Institute of Pharmaceutical Studies. (2021). "Global Trends in Pharmacy Practice: Lessons for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Healthcare: A Strategic Overview for New Zealand Wellington</dc:title>
  <dc:creator/>
  <dc:language>en</dc:language>
  <cp:keywords/>
  <dcterms:created xsi:type="dcterms:W3CDTF">2026-07-30T03:14:52Z</dcterms:created>
  <dcterms:modified xsi:type="dcterms:W3CDTF">2026-07-30T03:14:52Z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