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Thailand:</w:t>
      </w:r>
      <w:r>
        <w:t xml:space="preserve"> </w:t>
      </w:r>
      <w:r>
        <w:t xml:space="preserve">Bridging</w:t>
      </w:r>
      <w:r>
        <w:t xml:space="preserve"> </w:t>
      </w:r>
      <w:r>
        <w:t xml:space="preserve">Traditional</w:t>
      </w:r>
      <w:r>
        <w:t xml:space="preserve"> </w:t>
      </w:r>
      <w:r>
        <w:t xml:space="preserve">Expertise</w:t>
      </w:r>
      <w:r>
        <w:t xml:space="preserve"> </w:t>
      </w:r>
      <w:r>
        <w:t xml:space="preserve">with</w:t>
      </w:r>
      <w:r>
        <w:t xml:space="preserve"> </w:t>
      </w:r>
      <w:r>
        <w:t xml:space="preserve">Global</w:t>
      </w:r>
      <w:r>
        <w:t xml:space="preserve"> </w:t>
      </w:r>
      <w:r>
        <w:t xml:space="preserve">Innovation</w:t>
      </w:r>
    </w:p>
    <w:bookmarkStart w:id="31" w:name="X5fcff17fd6655ffa4ddd546a3c6d8f5e79e397b"/>
    <w:p>
      <w:pPr>
        <w:pStyle w:val="Heading1"/>
      </w:pPr>
      <w:r>
        <w:t xml:space="preserve">The Evolving Role of the Chemist in Thailand</w:t>
      </w:r>
      <w:r>
        <w:br/>
      </w:r>
      <w:r>
        <w:t xml:space="preserve">Bridging Traditional Expertise with Global Innovation</w:t>
      </w:r>
    </w:p>
    <w:p>
      <w:pPr>
        <w:pStyle w:val="FirstParagraph"/>
      </w:pPr>
      <w:r>
        <w:rPr>
          <w:bCs/>
          <w:b/>
        </w:rPr>
        <w:t xml:space="preserve">A. S. Srisukha, Ph.D.</w:t>
      </w:r>
      <w:r>
        <w:br/>
      </w:r>
      <w:r>
        <w:t xml:space="preserve">Department of Chemical Engineering and Materials Science,</w:t>
      </w:r>
      <w:r>
        <w:br/>
      </w:r>
      <w:r>
        <w:t xml:space="preserve">King Mongkut's University of Technology Thonburi, Thailand Bangkok</w:t>
      </w:r>
    </w:p>
    <w:bookmarkStart w:id="20" w:name="abstract"/>
    <w:p>
      <w:pPr>
        <w:pStyle w:val="Heading2"/>
      </w:pPr>
      <w:r>
        <w:t xml:space="preserve">Abstract</w:t>
      </w:r>
    </w:p>
    <w:p>
      <w:pPr>
        <w:pStyle w:val="FirstParagraph"/>
      </w:pPr>
      <w:r>
        <w:t xml:space="preserve">The chemical industry stands as a cornerstone of the Thai economy, contributing significantly to export revenues, employment, and industrial development. This conference paper examines the multifaceted role of the modern chemist in Thailand Bangkok and its surrounding industrial hubs. As global demands shift towards sustainability, digitalization, and green chemistry principles, Thai chemists are at a pivotal crossroads. This study analyzes current trends in chemical manufacturing in Thailand Bangkok highlights challenges related to environmental compliance and resource efficiency, and proposes strategic frameworks for integrating advanced analytical techniques with traditional chemical processes. The findings suggest that by enhancing interdisciplinary collaboration between academic institutions in Thailand Bangkok and international partners, the next generation of chemists can drive a sustainable industrial revolution.</w:t>
      </w:r>
    </w:p>
    <w:bookmarkEnd w:id="20"/>
    <w:bookmarkStart w:id="21" w:name="introduction"/>
    <w:p>
      <w:pPr>
        <w:pStyle w:val="Heading2"/>
      </w:pPr>
      <w:r>
        <w:t xml:space="preserve">1. Introduction</w:t>
      </w:r>
    </w:p>
    <w:p>
      <w:pPr>
        <w:pStyle w:val="FirstParagraph"/>
      </w:pPr>
      <w:r>
        <w:t xml:space="preserve">The Kingdom of Thailand has long been recognized as an industrial powerhouse in Southeast Asia. Central to this industrial identity is its robust chemical sector, which ranges from petrochemicals and plastics to pharmaceuticals and agricultural chemicals. In the context of Thailand Bangkok, the capital serves not only as the political and economic hub but also as a critical node for research, development, and policy-making regarding chemical safety and innovation. The role of the</w:t>
      </w:r>
      <w:r>
        <w:t xml:space="preserve"> </w:t>
      </w:r>
      <w:r>
        <w:rPr>
          <w:bCs/>
          <w:b/>
        </w:rPr>
        <w:t xml:space="preserve">chemist</w:t>
      </w:r>
      <w:r>
        <w:t xml:space="preserve"> </w:t>
      </w:r>
      <w:r>
        <w:t xml:space="preserve">has evolved from merely optimizing production yields to becoming a steward of environmental health and a driver of technological adoption.</w:t>
      </w:r>
    </w:p>
    <w:p>
      <w:pPr>
        <w:pStyle w:val="BodyText"/>
      </w:pPr>
      <w:r>
        <w:t xml:space="preserve">This paper aims to explore how chemists operating in Thailand Bangkok are adapting to global pressures. It argues that the future success of Thailand’s chemical sector depends on the ability of local scientists to blend rigorous scientific inquiry with practical, scalable solutions that meet both domestic needs and international standards.</w:t>
      </w:r>
    </w:p>
    <w:bookmarkEnd w:id="21"/>
    <w:bookmarkStart w:id="22" w:name="X14e4cca0b20a660f9e92ec195664470fd9bbb1e"/>
    <w:p>
      <w:pPr>
        <w:pStyle w:val="Heading2"/>
      </w:pPr>
      <w:r>
        <w:t xml:space="preserve">2. The Current Landscape of Chemistry in Thailand</w:t>
      </w:r>
    </w:p>
    <w:p>
      <w:pPr>
        <w:pStyle w:val="FirstParagraph"/>
      </w:pPr>
      <w:r>
        <w:rPr>
          <w:bCs/>
          <w:b/>
        </w:rPr>
        <w:t xml:space="preserve">Thailand Bangkok</w:t>
      </w:r>
      <w:r>
        <w:t xml:space="preserve"> </w:t>
      </w:r>
      <w:r>
        <w:t xml:space="preserve">is home to several major industrial estates, including the Eastern Seaboard region which is adjacent to the capital’s economic sphere. Here, large multinational corporations and local enterprises coexist. The primary industries driving demand for chemical expertise include:</w:t>
      </w:r>
    </w:p>
    <w:p>
      <w:pPr>
        <w:numPr>
          <w:ilvl w:val="0"/>
          <w:numId w:val="1001"/>
        </w:numPr>
        <w:pStyle w:val="Compact"/>
      </w:pPr>
      <w:r>
        <w:rPr>
          <w:bCs/>
          <w:b/>
        </w:rPr>
        <w:t xml:space="preserve">Petrochemicals:</w:t>
      </w:r>
      <w:r>
        <w:t xml:space="preserve"> </w:t>
      </w:r>
      <w:r>
        <w:t xml:space="preserve">Thailand is a net exporter of refined petroleum products and petrochemical derivatives.</w:t>
      </w:r>
    </w:p>
    <w:p>
      <w:pPr>
        <w:numPr>
          <w:ilvl w:val="0"/>
          <w:numId w:val="1001"/>
        </w:numPr>
        <w:pStyle w:val="Compact"/>
      </w:pPr>
      <w:r>
        <w:rPr>
          <w:bCs/>
          <w:b/>
        </w:rPr>
        <w:t xml:space="preserve">Automotive Chemicals:</w:t>
      </w:r>
      <w:r>
        <w:t xml:space="preserve"> </w:t>
      </w:r>
      <w:r>
        <w:t xml:space="preserve">Supporting the automotive manufacturing hub, which requires advanced materials for lightweighting and battery technology.</w:t>
      </w:r>
    </w:p>
    <w:p>
      <w:pPr>
        <w:numPr>
          <w:ilvl w:val="0"/>
          <w:numId w:val="1001"/>
        </w:numPr>
        <w:pStyle w:val="Compact"/>
      </w:pPr>
      <w:r>
        <w:rPr>
          <w:bCs/>
          <w:b/>
        </w:rPr>
        <w:t xml:space="preserve">Agricultural Chemistry:</w:t>
      </w:r>
      <w:r>
        <w:t xml:space="preserve"> </w:t>
      </w:r>
      <w:r>
        <w:t xml:space="preserve">Providing fertilizers, pesticides, and herbicides essential for Thailand’s robust agricultural output.</w:t>
      </w:r>
    </w:p>
    <w:p>
      <w:pPr>
        <w:pStyle w:val="FirstParagraph"/>
      </w:pPr>
      <w:r>
        <w:t xml:space="preserve">In this environment, the</w:t>
      </w:r>
      <w:r>
        <w:t xml:space="preserve"> </w:t>
      </w:r>
      <w:r>
        <w:rPr>
          <w:bCs/>
          <w:b/>
        </w:rPr>
        <w:t xml:space="preserve">chemist</w:t>
      </w:r>
      <w:r>
        <w:t xml:space="preserve">Thailand Bangkok, such as Chulalongkorn University and Kasetsart University, facilitates a unique ecosystem where academic research can rapidly transition into industrial application.</w:t>
      </w:r>
    </w:p>
    <w:bookmarkEnd w:id="22"/>
    <w:bookmarkStart w:id="23" w:name="challenges-facing-modern-chemists"/>
    <w:p>
      <w:pPr>
        <w:pStyle w:val="Heading2"/>
      </w:pPr>
      <w:r>
        <w:t xml:space="preserve">3. Challenges Facing Modern Chemists</w:t>
      </w:r>
    </w:p>
    <w:p>
      <w:pPr>
        <w:pStyle w:val="FirstParagraph"/>
      </w:pPr>
      <w:r>
        <w:t xml:space="preserve">Despite its strengths, the chemical sector in Thailand faces significant hurdles. First and foremost is the issue of sustainability. Global consumers and regulatory bodies are demanding lower carbon footprints and reduced waste generation. For a chemist working in</w:t>
      </w:r>
      <w:r>
        <w:t xml:space="preserve"> </w:t>
      </w:r>
      <w:r>
        <w:rPr>
          <w:bCs/>
          <w:b/>
        </w:rPr>
        <w:t xml:space="preserve">Thailand Bangkok</w:t>
      </w:r>
      <w:r>
        <w:t xml:space="preserve">, this means redesigning processes to minimize hazardous byproducts and maximize energy efficiency.</w:t>
      </w:r>
    </w:p>
    <w:p>
      <w:pPr>
        <w:pStyle w:val="BodyText"/>
      </w:pPr>
      <w:r>
        <w:t xml:space="preserve">Secondly, there is the challenge of technological integration. The industry 4.0 movement requires chemists to be proficient in data analytics, automation, and artificial intelligence. Traditional training programs often focus heavily on theoretical chemistry without adequate emphasis on digital literacy. Consequently, many professionals in Thailand Bangkok are undergoing retraining to bridge this gap.</w:t>
      </w:r>
    </w:p>
    <w:p>
      <w:pPr>
        <w:pStyle w:val="BodyText"/>
      </w:pPr>
      <w:r>
        <w:t xml:space="preserve">Thirdly, safety remains a paramount concern. Chemical accidents have historically impacted public perception and regulatory strictness in the region. Chemists must prioritize risk assessment protocols and implement real-time monitoring systems to prevent incidents.</w:t>
      </w:r>
    </w:p>
    <w:bookmarkEnd w:id="23"/>
    <w:bookmarkStart w:id="27" w:name="strategic-opportunities-for-growth"/>
    <w:p>
      <w:pPr>
        <w:pStyle w:val="Heading2"/>
      </w:pPr>
      <w:r>
        <w:t xml:space="preserve">4. Strategic Opportunities for Growth</w:t>
      </w:r>
    </w:p>
    <w:p>
      <w:pPr>
        <w:pStyle w:val="FirstParagraph"/>
      </w:pPr>
      <w:r>
        <w:t xml:space="preserve">To overcome these challenges, several strategic opportunities exist for the chemical sector in Thailand Bangkok.</w:t>
      </w:r>
    </w:p>
    <w:bookmarkStart w:id="24" w:name="bio-based-economy-bcg-model"/>
    <w:p>
      <w:pPr>
        <w:pStyle w:val="Heading3"/>
      </w:pPr>
      <w:r>
        <w:rPr>
          <w:bCs/>
          <w:b/>
        </w:rPr>
        <w:t xml:space="preserve">Bio-Based Economy (BCG Model)</w:t>
      </w:r>
    </w:p>
    <w:p>
      <w:pPr>
        <w:pStyle w:val="FirstParagraph"/>
      </w:pPr>
      <w:r>
        <w:t xml:space="preserve">The Thai government’s Bio-Circular-Green (BCG) economic model provides a strong policy framework. Chemists are encouraged to develop bioplastics, biofuels, and natural product extracts. This aligns with Thailand’s agricultural strengths, allowing chemists to add value to raw materials like cassava and sugarcane within</w:t>
      </w:r>
      <w:r>
        <w:t xml:space="preserve"> </w:t>
      </w:r>
      <w:r>
        <w:rPr>
          <w:bCs/>
          <w:b/>
        </w:rPr>
        <w:t xml:space="preserve">Thailand Bangkok</w:t>
      </w:r>
      <w:r>
        <w:t xml:space="preserve">’s research hubs before scaling up production.</w:t>
      </w:r>
    </w:p>
    <w:bookmarkEnd w:id="24"/>
    <w:bookmarkStart w:id="25" w:name="digital-transformation"/>
    <w:p>
      <w:pPr>
        <w:pStyle w:val="Heading3"/>
      </w:pPr>
      <w:r>
        <w:rPr>
          <w:bCs/>
          <w:b/>
        </w:rPr>
        <w:t xml:space="preserve">Digital Transformation</w:t>
      </w:r>
    </w:p>
    <w:p>
      <w:pPr>
        <w:pStyle w:val="FirstParagraph"/>
      </w:pPr>
      <w:r>
        <w:t xml:space="preserve">Leveraging big data for predictive maintenance and process optimization is critical. Chemists who collaborate with data scientists can create "smart factories" that adjust chemical parameters in real-time to ensure quality and safety. This synergy is particularly active in the innovation districts of</w:t>
      </w:r>
      <w:r>
        <w:t xml:space="preserve"> </w:t>
      </w:r>
      <w:r>
        <w:rPr>
          <w:bCs/>
          <w:b/>
        </w:rPr>
        <w:t xml:space="preserve">Thailand Bangkok</w:t>
      </w:r>
      <w:r>
        <w:t xml:space="preserve">, where tech startups interact with traditional chemical firms.</w:t>
      </w:r>
    </w:p>
    <w:bookmarkEnd w:id="25"/>
    <w:bookmarkStart w:id="26" w:name="international-collaboration"/>
    <w:p>
      <w:pPr>
        <w:pStyle w:val="Heading3"/>
      </w:pPr>
      <w:r>
        <w:rPr>
          <w:bCs/>
          <w:b/>
        </w:rPr>
        <w:t xml:space="preserve">International Collaboration</w:t>
      </w:r>
    </w:p>
    <w:p>
      <w:pPr>
        <w:pStyle w:val="FirstParagraph"/>
      </w:pPr>
      <w:r>
        <w:t xml:space="preserve">Thailand Bangkok serves as a gateway to the ASEAN market. By establishing partnerships with European and Japanese chemical giants, local chemists can access cutting-edge technologies and best practices. Joint ventures often facilitate knowledge transfer, empowering Thai scientists to lead innovation rather than merely adopt it.</w:t>
      </w:r>
    </w:p>
    <w:bookmarkEnd w:id="26"/>
    <w:bookmarkEnd w:id="27"/>
    <w:bookmarkStart w:id="28" w:name="recommendations-for-policy-and-practice"/>
    <w:p>
      <w:pPr>
        <w:pStyle w:val="Heading2"/>
      </w:pPr>
      <w:r>
        <w:t xml:space="preserve">5. Recommendations for Policy and Practice</w:t>
      </w:r>
    </w:p>
    <w:p>
      <w:pPr>
        <w:pStyle w:val="FirstParagraph"/>
      </w:pPr>
      <w:r>
        <w:t xml:space="preserve">To sustain this growth trajectory, several recommendations are proposed:</w:t>
      </w:r>
    </w:p>
    <w:p>
      <w:pPr>
        <w:numPr>
          <w:ilvl w:val="0"/>
          <w:numId w:val="1002"/>
        </w:numPr>
        <w:pStyle w:val="Compact"/>
      </w:pPr>
      <w:r>
        <w:rPr>
          <w:bCs/>
          <w:b/>
        </w:rPr>
        <w:t xml:space="preserve">Educational Reform:</w:t>
      </w:r>
    </w:p>
    <w:p>
      <w:pPr>
        <w:numPr>
          <w:ilvl w:val="0"/>
          <w:numId w:val="1002"/>
        </w:numPr>
        <w:pStyle w:val="Compact"/>
      </w:pPr>
      <w:r>
        <w:rPr>
          <w:bCs/>
          <w:b/>
        </w:rPr>
        <w:t xml:space="preserve">Incentivizing R&amp;D:</w:t>
      </w:r>
    </w:p>
    <w:p>
      <w:pPr>
        <w:numPr>
          <w:ilvl w:val="0"/>
          <w:numId w:val="1002"/>
        </w:numPr>
        <w:pStyle w:val="Compact"/>
      </w:pPr>
      <w:r>
        <w:rPr>
          <w:bCs/>
          <w:b/>
        </w:rPr>
        <w:t xml:space="preserve">Strengthening Regulatory Frameworks:</w:t>
      </w:r>
      <w:r>
        <w:t xml:space="preserve"> </w:t>
      </w:r>
      <w:r>
        <w:t xml:space="preserve">Regulations must be clear, consistent, and scientifically grounded to protect both the environment and industry competitiveness. Chemists should be involved in policy advisory committees to ensure regulations are technically feasible.</w:t>
      </w:r>
    </w:p>
    <w:bookmarkEnd w:id="28"/>
    <w:bookmarkStart w:id="29" w:name="conclusion"/>
    <w:p>
      <w:pPr>
        <w:pStyle w:val="Heading2"/>
      </w:pPr>
      <w:r>
        <w:t xml:space="preserve">. Conclusion</w:t>
      </w:r>
    </w:p>
    <w:p>
      <w:pPr>
        <w:pStyle w:val="FirstParagraph"/>
      </w:pPr>
      <w:r>
        <w:t xml:space="preserve">The role of the chemist in Thailand Bangkok is undergoing a profound transformation. No longer confined to laboratory benches, modern chemists are becoming innovators, sustainability advocates, and digital integrators. By embracing the BCG model, leveraging technological advancements, and fostering international collaboration, Thailand can position itself as a leader in sustainable chemical manufacturing in Asia.</w:t>
      </w:r>
    </w:p>
    <w:p>
      <w:pPr>
        <w:pStyle w:val="BodyText"/>
      </w:pPr>
      <w:r>
        <w:t xml:space="preserve">The path forward requires concerted effort from educators, industry leaders policymakers. As we look to the future of</w:t>
      </w:r>
    </w:p>
    <w:p>
      <w:pPr>
        <w:pStyle w:val="BodyText"/>
      </w:pPr>
      <w:r>
        <w:t xml:space="preserve">Thailand Bangkok, it is clear that the chemist will remain at the heart of this progress. Through dedication to excellence and innovation, Thai chemists are well-equipped to meet global challenges while enhancing local quality of life. This conference paper serves as a call to action for all stakeholders in Thailand Bangkok to support and invest in this vital profession.</w:t>
      </w:r>
    </w:p>
    <w:bookmarkEnd w:id="29"/>
    <w:bookmarkStart w:id="30" w:name="references"/>
    <w:p>
      <w:pPr>
        <w:pStyle w:val="Heading2"/>
      </w:pPr>
      <w:r>
        <w:t xml:space="preserve">References</w:t>
      </w:r>
    </w:p>
    <w:p>
      <w:pPr>
        <w:numPr>
          <w:ilvl w:val="0"/>
          <w:numId w:val="1003"/>
        </w:numPr>
        <w:pStyle w:val="Compact"/>
      </w:pPr>
      <w:r>
        <w:t xml:space="preserve">Bio-Circular-Green Economy Model, Office of the Prime Minister, Thailand. (2023).</w:t>
      </w:r>
    </w:p>
    <w:p>
      <w:pPr>
        <w:numPr>
          <w:ilvl w:val="0"/>
          <w:numId w:val="1003"/>
        </w:numPr>
        <w:pStyle w:val="Compact"/>
      </w:pPr>
      <w:r>
        <w:t xml:space="preserve">Srisukha, A., &amp; Thanapichai, K. "Digital Integration in Thai Petrochemical Plants." *Journal of Southeast Asian Chemical Engineering*, 15(2), 45-60.</w:t>
      </w:r>
    </w:p>
    <w:p>
      <w:pPr>
        <w:numPr>
          <w:ilvl w:val="0"/>
          <w:numId w:val="1003"/>
        </w:numPr>
        <w:pStyle w:val="Compact"/>
      </w:pPr>
      <w:r>
        <w:t xml:space="preserve">ASEAN Centre for Energy. "Renewable Energy and Chemical Synthesis Prospects in Thailand." Bangkok: ACE Publications, 2022.</w:t>
      </w:r>
    </w:p>
    <w:p>
      <w:pPr>
        <w:numPr>
          <w:ilvl w:val="0"/>
          <w:numId w:val="1003"/>
        </w:numPr>
        <w:pStyle w:val="Compact"/>
      </w:pPr>
      <w:r>
        <w:t xml:space="preserve">Minnich, R. "Sustainability Challenges in Emerging Market Chemical Industries." *Global Chemical Review*,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Thailand: Bridging Traditional Expertise with Global Innovation</dc:title>
  <dc:creator/>
  <dc:language>en</dc:language>
  <cp:keywords/>
  <dcterms:created xsi:type="dcterms:W3CDTF">2026-07-29T15:32:08Z</dcterms:created>
  <dcterms:modified xsi:type="dcterms:W3CDTF">2026-07-29T15:32:08Z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