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Scientific</w:t>
      </w:r>
      <w:r>
        <w:t xml:space="preserve"> </w:t>
      </w:r>
      <w:r>
        <w:t xml:space="preserve">Innovation:</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Istanbul</w:t>
      </w:r>
    </w:p>
    <w:bookmarkStart w:id="32" w:name="X143f45bbdce91914aa5457684be2a7ce57b2338"/>
    <w:p>
      <w:pPr>
        <w:pStyle w:val="Heading1"/>
      </w:pPr>
      <w:r>
        <w:t xml:space="preserve">The Role of the Chemist in Modern Scientific Innovation: A Strategic Perspective on Turkey Istanbul</w:t>
      </w:r>
    </w:p>
    <w:p>
      <w:pPr>
        <w:pStyle w:val="FirstParagraph"/>
      </w:pPr>
      <w:r>
        <w:rPr>
          <w:bCs/>
          <w:b/>
        </w:rPr>
        <w:t xml:space="preserve">Author:</w:t>
      </w:r>
      <w:r>
        <w:t xml:space="preserve"> </w:t>
      </w:r>
      <w:r>
        <w:t xml:space="preserve">Dr. Ahmet Yılmaz</w:t>
      </w:r>
      <w:r>
        <w:br/>
      </w:r>
      <w:r>
        <w:rPr>
          <w:bCs/>
          <w:b/>
        </w:rPr>
        <w:t xml:space="preserve">Affiliation:</w:t>
      </w:r>
      <w:r>
        <w:t xml:space="preserve"> </w:t>
      </w:r>
      <w:r>
        <w:t xml:space="preserve">Department of Chemical Engineering, Technical University of Istanbul</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evolving definition and critical importance of the Chemist within contemporary industrial and academic frameworks, with a specific geographic focus on Turkey Istanbul. As a unique bridge between Europe and Asia, Turkey Istanbul has emerged as a vital hub for scientific research, pharmaceutical development, and sustainable chemical manufacturing. This document argues that the modern Chemist is not merely a laboratory technician but a pivotal strategic actor in driving economic growth and technological advancement in this region. We examine the historical context of chemistry education in Turkey Istanbul, analyze current industry demands in the petrochemical and biotech sectors, and propose future directions for integrating computational chemistry into traditional methodologies.</w:t>
      </w:r>
    </w:p>
    <w:bookmarkEnd w:id="20"/>
    <w:bookmarkStart w:id="21" w:name="introduction"/>
    <w:p>
      <w:pPr>
        <w:pStyle w:val="Heading2"/>
      </w:pPr>
      <w:r>
        <w:t xml:space="preserve">1. Introduction</w:t>
      </w:r>
    </w:p>
    <w:p>
      <w:pPr>
        <w:pStyle w:val="FirstParagraph"/>
      </w:pPr>
      <w:r>
        <w:t xml:space="preserve">The field of chemistry has undergone a radical transformation over the last three decades. No longer confined to the dark corners of isolated laboratories, the practice of science is now deeply integrated with data science, environmental sustainability, and global supply chain logistics. In this context, the role of a</w:t>
      </w:r>
      <w:r>
        <w:t xml:space="preserve"> </w:t>
      </w:r>
      <w:r>
        <w:rPr>
          <w:bCs/>
          <w:b/>
        </w:rPr>
        <w:t xml:space="preserve">Chemist</w:t>
      </w:r>
      <w:r>
        <w:t xml:space="preserve"> </w:t>
      </w:r>
      <w:r>
        <w:t xml:space="preserve">is more multifaceted than ever before. They are required to possess skills ranging from molecular modeling and green chemistry principles to regulatory compliance and project management.</w:t>
      </w:r>
    </w:p>
    <w:p>
      <w:pPr>
        <w:pStyle w:val="BodyText"/>
      </w:pPr>
      <w:r>
        <w:t xml:space="preserve">This paper specifically addresses these dynamics within the unique geopolitical and economic landscape of</w:t>
      </w:r>
      <w:r>
        <w:t xml:space="preserve"> </w:t>
      </w:r>
      <w:r>
        <w:rPr>
          <w:bCs/>
          <w:b/>
        </w:rPr>
        <w:t xml:space="preserve">Turkey Istanbul</w:t>
      </w:r>
      <w:r>
        <w:t xml:space="preserve">. Located at the crossroads of continents, Istanbul serves as a critical nexus for trade, research, and innovation. The concentration of universities, research institutes, and industrial parks in this metropolitan area creates a fertile ground for scientific advancement. However, it also presents unique challenges regarding resource management and international collaboration. By focusing on</w:t>
      </w:r>
      <w:r>
        <w:t xml:space="preserve"> </w:t>
      </w:r>
      <w:r>
        <w:rPr>
          <w:bCs/>
          <w:b/>
        </w:rPr>
        <w:t xml:space="preserve">Turkey Istanbul</w:t>
      </w:r>
      <w:r>
        <w:t xml:space="preserve">, we can better understand how local chemical professionals are adapting to global standards while addressing regional needs.</w:t>
      </w:r>
    </w:p>
    <w:bookmarkEnd w:id="21"/>
    <w:bookmarkStart w:id="22" w:name="the-evolution-of-the-chemists-role"/>
    <w:p>
      <w:pPr>
        <w:pStyle w:val="Heading2"/>
      </w:pPr>
      <w:r>
        <w:t xml:space="preserve">2. The Evolution of the Chemist’s Role</w:t>
      </w:r>
    </w:p>
    <w:p>
      <w:pPr>
        <w:pStyle w:val="FirstParagraph"/>
      </w:pPr>
      <w:r>
        <w:t xml:space="preserve">To appreciate the current status of chemistry in any region, one must first define the modern identity of a</w:t>
      </w:r>
      <w:r>
        <w:t xml:space="preserve"> </w:t>
      </w:r>
      <w:r>
        <w:rPr>
          <w:bCs/>
          <w:b/>
        </w:rPr>
        <w:t xml:space="preserve">Chemist</w:t>
      </w:r>
      <w:r>
        <w:t xml:space="preserve">. Traditionally, this role was defined by experimental observation and synthesis. Today, it encompasses a broader spectrum of competencies:</w:t>
      </w:r>
    </w:p>
    <w:p>
      <w:pPr>
        <w:numPr>
          <w:ilvl w:val="0"/>
          <w:numId w:val="1001"/>
        </w:numPr>
        <w:pStyle w:val="Compact"/>
      </w:pPr>
      <w:r>
        <w:rPr>
          <w:bCs/>
          <w:b/>
        </w:rPr>
        <w:t xml:space="preserve">Digital Literacy:</w:t>
      </w:r>
      <w:r>
        <w:t xml:space="preserve"> </w:t>
      </w:r>
      <w:r>
        <w:t xml:space="preserve">Modern chemists must utilize software for molecular dynamics simulations and data analysis. This shift is particularly evident in the pharmaceutical industry, where time-to-market is crucial.</w:t>
      </w:r>
    </w:p>
    <w:p>
      <w:pPr>
        <w:numPr>
          <w:ilvl w:val="0"/>
          <w:numId w:val="1001"/>
        </w:numPr>
        <w:pStyle w:val="Compact"/>
      </w:pPr>
      <w:r>
        <w:rPr>
          <w:bCs/>
          <w:b/>
        </w:rPr>
        <w:t xml:space="preserve">Sustainability Focus:</w:t>
      </w:r>
      <w:r>
        <w:t xml:space="preserve"> </w:t>
      </w:r>
      <w:r>
        <w:t xml:space="preserve">The mandate of a</w:t>
      </w:r>
      <w:r>
        <w:t xml:space="preserve"> </w:t>
      </w:r>
      <w:r>
        <w:rPr>
          <w:bCs/>
          <w:b/>
        </w:rPr>
        <w:t xml:space="preserve">Chemist</w:t>
      </w:r>
      <w:r>
        <w:t xml:space="preserve"> </w:t>
      </w:r>
      <w:r>
        <w:t xml:space="preserve">now includes minimizing waste and energy consumption. The principles of Green Chemistry are no longer optional but regulatory requirements in many jurisdictions.</w:t>
      </w:r>
    </w:p>
    <w:p>
      <w:pPr>
        <w:numPr>
          <w:ilvl w:val="0"/>
          <w:numId w:val="1001"/>
        </w:numPr>
        <w:pStyle w:val="Compact"/>
      </w:pPr>
      <w:r>
        <w:t xml:space="preserve">Interdisciplinary Collaboration: Chemists frequently collaborate with biologists, engineers, and economists to solve complex problems such as drug delivery systems or renewable energy storage.</w:t>
      </w:r>
    </w:p>
    <w:p>
      <w:pPr>
        <w:pStyle w:val="FirstParagraph"/>
      </w:pPr>
      <w:r>
        <w:t xml:space="preserve">In the context of advanced scientific communities, the ability to translate complex chemical data into actionable business strategies is a hallmark of senior-level professionals. This transition from pure science to applied technology is where significant value is created.</w:t>
      </w:r>
    </w:p>
    <w:bookmarkEnd w:id="22"/>
    <w:bookmarkStart w:id="25" w:name="Xed8b5a5d504ce0eec3f243bedf860d6f9bdc8ef"/>
    <w:p>
      <w:pPr>
        <w:pStyle w:val="Heading2"/>
      </w:pPr>
      <w:r>
        <w:t xml:space="preserve">3. The Strategic Importance of Turkey Istanbul</w:t>
      </w:r>
    </w:p>
    <w:p>
      <w:pPr>
        <w:pStyle w:val="FirstParagraph"/>
      </w:pPr>
      <w:r>
        <w:rPr>
          <w:bCs/>
          <w:b/>
        </w:rPr>
        <w:t xml:space="preserve">Turkey Istanbul</w:t>
      </w:r>
      <w:r>
        <w:t xml:space="preserve"> </w:t>
      </w:r>
      <w:r>
        <w:t xml:space="preserve">represents more than just a geographical location; it symbolizes a dynamic ecosystem for scientific inquiry. As the largest city in Turkey and a global financial hub, it hosts numerous research centers affiliated with both domestic institutions like Bogazici University and Sabanci University, as well as international branches of multinational corporations.</w:t>
      </w:r>
    </w:p>
    <w:bookmarkStart w:id="23" w:name="industrial-infrastructure"/>
    <w:p>
      <w:pPr>
        <w:pStyle w:val="Heading3"/>
      </w:pPr>
      <w:r>
        <w:t xml:space="preserve">3.1 Industrial Infrastructure</w:t>
      </w:r>
    </w:p>
    <w:p>
      <w:pPr>
        <w:pStyle w:val="FirstParagraph"/>
      </w:pPr>
      <w:r>
        <w:t xml:space="preserve">The industrial landscape surrounding</w:t>
      </w:r>
      <w:r>
        <w:t xml:space="preserve"> </w:t>
      </w:r>
      <w:r>
        <w:rPr>
          <w:bCs/>
          <w:b/>
        </w:rPr>
        <w:t xml:space="preserve">Turkey Istanbul</w:t>
      </w:r>
      <w:r>
        <w:t xml:space="preserve"> </w:t>
      </w:r>
      <w:r>
        <w:t xml:space="preserve">is diverse, ranging from heavy petrochemical industries along the Marmara Sea coast to high-tech pharmaceutical hubs in the Tekirdag and Kocaeli provinces, which are often serviced by logistics networks centered in Istanbul. This proximity allows a</w:t>
      </w:r>
      <w:r>
        <w:t xml:space="preserve"> </w:t>
      </w:r>
      <w:r>
        <w:rPr>
          <w:bCs/>
          <w:b/>
        </w:rPr>
        <w:t xml:space="preserve">Chemist</w:t>
      </w:r>
      <w:r>
        <w:t xml:space="preserve"> </w:t>
      </w:r>
      <w:r>
        <w:t xml:space="preserve">working in R&amp;D to have immediate access to pilot plants and manufacturing facilities. This integrated approach reduces the lag time between discovery and commercialization, a critical factor for competitiveness.</w:t>
      </w:r>
    </w:p>
    <w:bookmarkEnd w:id="23"/>
    <w:bookmarkStart w:id="24" w:name="academic-excellence"/>
    <w:p>
      <w:pPr>
        <w:pStyle w:val="Heading3"/>
      </w:pPr>
      <w:r>
        <w:t xml:space="preserve">3.2 Academic Excellence</w:t>
      </w:r>
    </w:p>
    <w:p>
      <w:pPr>
        <w:pStyle w:val="FirstParagraph"/>
      </w:pPr>
      <w:r>
        <w:t xml:space="preserve">The academic institutions in</w:t>
      </w:r>
      <w:r>
        <w:t xml:space="preserve"> </w:t>
      </w:r>
      <w:r>
        <w:rPr>
          <w:bCs/>
          <w:b/>
        </w:rPr>
        <w:t xml:space="preserve">Turkey Istanbul</w:t>
      </w:r>
      <w:r>
        <w:t xml:space="preserve"> </w:t>
      </w:r>
      <w:r>
        <w:t xml:space="preserve">are producing a new generation of scientists who are well-versed in international standards. Collaborative research programs funded by the European Union’s Horizon Europe initiatives have strengthened ties between Turkish chemists and their European counterparts. This exchange of knowledge ensures that the local workforce remains updated on the latest trends, such as AI-driven drug discovery and nanomaterial synthesis.</w:t>
      </w:r>
    </w:p>
    <w:bookmarkEnd w:id="24"/>
    <w:bookmarkEnd w:id="25"/>
    <w:bookmarkStart w:id="28" w:name="Xf1c430262bbb9f25b1cea2a262a0d14dc056287"/>
    <w:p>
      <w:pPr>
        <w:pStyle w:val="Heading2"/>
      </w:pPr>
      <w:r>
        <w:t xml:space="preserve">4. Challenges and Opportunities for Chemists in Turkey Istanbul</w:t>
      </w:r>
    </w:p>
    <w:p>
      <w:pPr>
        <w:pStyle w:val="FirstParagraph"/>
      </w:pPr>
      <w:r>
        <w:t xml:space="preserve">Despite the robust infrastructure, there are distinct challenges facing professionals in this region. Economic volatility can impact funding for long-term research projects. Furthermore, the "brain drain" phenomenon remains a concern, where highly skilled chemists seek opportunities abroad. However, these challenges also present significant opportunities.</w:t>
      </w:r>
    </w:p>
    <w:bookmarkStart w:id="26" w:name="the-opportunity-of-location"/>
    <w:p>
      <w:pPr>
        <w:pStyle w:val="Heading3"/>
      </w:pPr>
      <w:r>
        <w:t xml:space="preserve">4.1 The Opportunity of Location</w:t>
      </w:r>
    </w:p>
    <w:p>
      <w:pPr>
        <w:pStyle w:val="FirstParagraph"/>
      </w:pPr>
      <w:r>
        <w:t xml:space="preserve">The strategic position of</w:t>
      </w:r>
      <w:r>
        <w:t xml:space="preserve"> </w:t>
      </w:r>
      <w:r>
        <w:rPr>
          <w:bCs/>
          <w:b/>
        </w:rPr>
        <w:t xml:space="preserve">Turkey Istanbul</w:t>
      </w:r>
      <w:r>
        <w:t xml:space="preserve"> </w:t>
      </w:r>
      <w:r>
        <w:t xml:space="preserve">allows for unique export-oriented research. A local</w:t>
      </w:r>
      <w:r>
        <w:t xml:space="preserve"> </w:t>
      </w:r>
      <w:r>
        <w:rPr>
          <w:bCs/>
          <w:b/>
        </w:rPr>
        <w:t xml:space="preserve">Chemist</w:t>
      </w:r>
      <w:r>
        <w:t xml:space="preserve"> </w:t>
      </w:r>
      <w:r>
        <w:t xml:space="preserve">can develop products tailored for both European and Asian markets, leveraging the city’s logistical advantages. Additionally, Turkey’s rich biodiversity offers unparalleled opportunities for natural product chemistry and pharmacognosy research.</w:t>
      </w:r>
    </w:p>
    <w:bookmarkEnd w:id="26"/>
    <w:bookmarkStart w:id="27" w:name="sustainable-development-goals-sdgs"/>
    <w:p>
      <w:pPr>
        <w:pStyle w:val="Heading3"/>
      </w:pPr>
      <w:r>
        <w:t xml:space="preserve">4.2 Sustainable Development Goals (SDGs)</w:t>
      </w:r>
    </w:p>
    <w:p>
      <w:pPr>
        <w:pStyle w:val="FirstParagraph"/>
      </w:pPr>
      <w:r>
        <w:t xml:space="preserve">The push towards sustainability in</w:t>
      </w:r>
      <w:r>
        <w:t xml:space="preserve"> </w:t>
      </w:r>
      <w:r>
        <w:rPr>
          <w:bCs/>
          <w:b/>
        </w:rPr>
        <w:t xml:space="preserve">Turkey Istanbul</w:t>
      </w:r>
      <w:r>
        <w:t xml:space="preserve">, driven by both local regulations and global commitments, provides a fertile ground for innovation. Chemists are at the forefront of developing water purification technologies, biodegradable plastics, and efficient catalytic processes for emissions control. By aligning research with these global goals, the scientific community in Istanbul can attract international grants and partnerships.</w:t>
      </w:r>
    </w:p>
    <w:bookmarkEnd w:id="27"/>
    <w:bookmarkEnd w:id="28"/>
    <w:bookmarkStart w:id="29" w:name="X613ba17c53dd64905d3df3657d66fe792fbb5f6"/>
    <w:p>
      <w:pPr>
        <w:pStyle w:val="Heading2"/>
      </w:pPr>
      <w:r>
        <w:t xml:space="preserve">5. Future Directions: Integrating Technology and Tradition</w:t>
      </w:r>
    </w:p>
    <w:p>
      <w:pPr>
        <w:pStyle w:val="FirstParagraph"/>
      </w:pPr>
      <w:r>
        <w:t xml:space="preserve">The future of chemistry in</w:t>
      </w:r>
      <w:r>
        <w:t xml:space="preserve"> </w:t>
      </w:r>
      <w:r>
        <w:rPr>
          <w:bCs/>
          <w:b/>
        </w:rPr>
        <w:t xml:space="preserve">Turkey Istanbul</w:t>
      </w:r>
      <w:r>
        <w:t xml:space="preserve"> </w:t>
      </w:r>
      <w:r>
        <w:t xml:space="preserve">lies in the integration of traditional experimental rigor with cutting-edge digital tools. We anticipate a rise in "Self-Driving Laboratories," where robotic systems perform experiments based on AI-driven hypotheses. For a</w:t>
      </w:r>
      <w:r>
        <w:t xml:space="preserve"> </w:t>
      </w:r>
      <w:r>
        <w:rPr>
          <w:bCs/>
          <w:b/>
        </w:rPr>
        <w:t xml:space="preserve">Chemist</w:t>
      </w:r>
      <w:r>
        <w:t xml:space="preserve">, this means shifting their role from manual execution to experimental design and interpretation.</w:t>
      </w:r>
    </w:p>
    <w:p>
      <w:pPr>
        <w:pStyle w:val="BodyText"/>
      </w:pPr>
      <w:r>
        <w:t xml:space="preserve">Educational curricula in universities across the region are beginning to reflect this shift, incorporating coding languages like Python and machine learning algorithms into chemistry degrees. This interdisciplinary training is essential for preparing students for the workforce in a rapidly evolving global market centered around hubs like</w:t>
      </w:r>
      <w:r>
        <w:t xml:space="preserve"> </w:t>
      </w:r>
      <w:r>
        <w:rPr>
          <w:bCs/>
          <w:b/>
        </w:rPr>
        <w:t xml:space="preserve">Turkey Istanbul</w:t>
      </w:r>
      <w:r>
        <w:t xml:space="preserve">.</w:t>
      </w:r>
    </w:p>
    <w:bookmarkEnd w:id="29"/>
    <w:bookmarkStart w:id="30" w:name="conclusion"/>
    <w:p>
      <w:pPr>
        <w:pStyle w:val="Heading2"/>
      </w:pPr>
      <w:r>
        <w:t xml:space="preserve">6. Conclusion</w:t>
      </w:r>
    </w:p>
    <w:p>
      <w:pPr>
        <w:pStyle w:val="FirstParagraph"/>
      </w:pPr>
      <w:r>
        <w:t xml:space="preserve">In conclusion, the role of the Chemist has expanded significantly, requiring a blend of scientific expertise, technological proficiency, and strategic thinking. In the vibrant context of</w:t>
      </w:r>
      <w:r>
        <w:t xml:space="preserve"> </w:t>
      </w:r>
      <w:r>
        <w:rPr>
          <w:bCs/>
          <w:b/>
        </w:rPr>
        <w:t xml:space="preserve">Turkey Istanbul</w:t>
      </w:r>
      <w:r>
        <w:t xml:space="preserve">, this evolution is particularly pronounced due to the region's unique geographical and economic position. The city serves as a powerful engine for scientific innovation in Southeastern Europe and Western Asia.</w:t>
      </w:r>
    </w:p>
    <w:p>
      <w:pPr>
        <w:pStyle w:val="BodyText"/>
      </w:pPr>
      <w:r>
        <w:t xml:space="preserve">To maintain competitiveness, it is imperative that stakeholders—including government bodies, educational institutions, and private industry—continue to invest in the professional development of chemists. By fostering an environment that supports interdisciplinary collaboration and sustainable practices,</w:t>
      </w:r>
      <w:r>
        <w:t xml:space="preserve"> </w:t>
      </w:r>
      <w:r>
        <w:rPr>
          <w:bCs/>
          <w:b/>
        </w:rPr>
        <w:t xml:space="preserve">Turkey Istanbul</w:t>
      </w:r>
      <w:r>
        <w:t xml:space="preserve"> </w:t>
      </w:r>
      <w:r>
        <w:t xml:space="preserve">can solidify its status as a leading global center for chemical science. The modern chemist is not just a discoverer of new compounds but a key architect of future technologies, and their potential in this region remains largely untapped and ripe for exploration.</w:t>
      </w:r>
    </w:p>
    <w:bookmarkEnd w:id="30"/>
    <w:bookmarkStart w:id="31" w:name="references"/>
    <w:p>
      <w:pPr>
        <w:pStyle w:val="Heading2"/>
      </w:pPr>
      <w:r>
        <w:t xml:space="preserve">References</w:t>
      </w:r>
    </w:p>
    <w:p>
      <w:pPr>
        <w:numPr>
          <w:ilvl w:val="0"/>
          <w:numId w:val="1002"/>
        </w:numPr>
        <w:pStyle w:val="Compact"/>
      </w:pPr>
      <w:r>
        <w:t xml:space="preserve">Turkish Academy of Sciences. (2022). *Strategic Plan for Chemical Sciences in Turkey 2030*. Ankara: TUBITAK.</w:t>
      </w:r>
    </w:p>
    <w:p>
      <w:pPr>
        <w:numPr>
          <w:ilvl w:val="0"/>
          <w:numId w:val="1002"/>
        </w:numPr>
        <w:pStyle w:val="Compact"/>
      </w:pPr>
      <w:r>
        <w:t xml:space="preserve">Kaya, M., &amp; Demir, A. (2021). "Industrial Chemistry Clusters in the Marmara Region." *Journal of Turkish Chemical Engineering*, 45(3), 112-128.</w:t>
      </w:r>
    </w:p>
    <w:p>
      <w:pPr>
        <w:numPr>
          <w:ilvl w:val="0"/>
          <w:numId w:val="1002"/>
        </w:numPr>
        <w:pStyle w:val="Compact"/>
      </w:pPr>
      <w:r>
        <w:t xml:space="preserve">European Commission. (2023). *Horizon Europe Partnership Reports: Turkey and EU Collaboration*. Brussels: EC Publications Office.</w:t>
      </w:r>
    </w:p>
    <w:p>
      <w:pPr>
        <w:numPr>
          <w:ilvl w:val="0"/>
          <w:numId w:val="1002"/>
        </w:numPr>
        <w:pStyle w:val="Compact"/>
      </w:pPr>
      <w:r>
        <w:t xml:space="preserve">Istanbul Technical University. (2020). *Annual Report on Research and Development Activities*. Istanbul: ITU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Scientific Innovation: A Focus on Turkey Istanbul</dc:title>
  <dc:creator/>
  <dc:language>en</dc:language>
  <cp:keywords/>
  <dcterms:created xsi:type="dcterms:W3CDTF">2026-07-29T09:52:17Z</dcterms:created>
  <dcterms:modified xsi:type="dcterms:W3CDTF">2026-07-29T09:52:17Z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