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Medicinal</w:t>
      </w:r>
      <w:r>
        <w:t xml:space="preserve"> </w:t>
      </w:r>
      <w:r>
        <w:t xml:space="preserve">Chemistry:</w:t>
      </w:r>
      <w:r>
        <w:t xml:space="preserve"> </w:t>
      </w:r>
      <w:r>
        <w:t xml:space="preserve">A</w:t>
      </w:r>
      <w:r>
        <w:t xml:space="preserve"> </w:t>
      </w:r>
      <w:r>
        <w:t xml:space="preserve">United</w:t>
      </w:r>
      <w:r>
        <w:t xml:space="preserve"> </w:t>
      </w:r>
      <w:r>
        <w:t xml:space="preserve">Kingdom</w:t>
      </w:r>
      <w:r>
        <w:t xml:space="preserve"> </w:t>
      </w:r>
      <w:r>
        <w:t xml:space="preserve">Manchester</w:t>
      </w:r>
      <w:r>
        <w:t xml:space="preserve"> </w:t>
      </w:r>
      <w:r>
        <w:t xml:space="preserve">Perspective</w:t>
      </w:r>
    </w:p>
    <w:bookmarkStart w:id="37" w:name="X9d81d5c133c0e7694b1a1f8c11d27069a87a945"/>
    <w:p>
      <w:pPr>
        <w:pStyle w:val="Heading1"/>
      </w:pPr>
      <w:r>
        <w:t xml:space="preserve">Bridging Theory and Practice in Modern Chemistry Education</w:t>
      </w:r>
      <w:r>
        <w:br/>
      </w:r>
      <w:r>
        <w:t xml:space="preserve">A Strategic Framework for United Kingdom Manchester Institutions</w:t>
      </w:r>
    </w:p>
    <w:p>
      <w:pPr>
        <w:pStyle w:val="FirstParagraph"/>
      </w:pPr>
      <w:r>
        <w:rPr>
          <w:bCs/>
          <w:b/>
        </w:rPr>
        <w:t xml:space="preserve">J. Smith, PhD &amp; A. Jones, MSc</w:t>
      </w:r>
      <w:r>
        <w:br/>
      </w:r>
      <w:r>
        <w:t xml:space="preserve">Department of Chemical Sciences, University of Research</w:t>
      </w:r>
      <w:r>
        <w:br/>
      </w:r>
      <w:r>
        <w:t xml:space="preserve">Manchester, United Kingdom</w:t>
      </w:r>
    </w:p>
    <w:bookmarkStart w:id="20" w:name="abstract"/>
    <w:p>
      <w:pPr>
        <w:pStyle w:val="Heading3"/>
      </w:pPr>
      <w:r>
        <w:rPr>
          <w:bCs/>
          <w:b/>
        </w:rPr>
        <w:t xml:space="preserve">Abstract</w:t>
      </w:r>
    </w:p>
    <w:p>
      <w:pPr>
        <w:pStyle w:val="FirstParagraph"/>
      </w:pPr>
      <w:r>
        <w:t xml:space="preserve">This conference paper examines the evolving landscape of chemical sciences education and research within the industrial hub of United Kingdom Manchester. As global demand for sustainable chemical processes and advanced medicinal formulations increases, it is imperative that academic institutions adapt their curricula to meet these challenges. This study proposes a comprehensive framework for enhancing</w:t>
      </w:r>
      <w:r>
        <w:t xml:space="preserve"> </w:t>
      </w:r>
      <w:r>
        <w:rPr>
          <w:bCs/>
          <w:b/>
        </w:rPr>
        <w:t xml:space="preserve">Chemist</w:t>
      </w:r>
      <w:r>
        <w:t xml:space="preserve"> </w:t>
      </w:r>
      <w:r>
        <w:t xml:space="preserve">training programs, emphasizing interdisciplinary collaboration, practical laboratory skills, and industry-academia partnerships specific to the Manchester ecosystem. By analyzing current pedagogical methods and integrating case studies from local pharmaceutical enterprises, we argue that a reimagined approach to chemical education is essential for maintaining Manchester’s status as a global leader in scientific innovation.</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United Kingdom Manchester</w:t>
      </w:r>
      <w:r>
        <w:t xml:space="preserve">, often referred to simply as "Manchester" within the broader context of the North West region, has historically been a cornerstone of industrial and scientific development. From its roots in the textile industry during the Industrial Revolution to its current standing as a premier hub for life sciences and digital technology, Manchester continues to drive innovation. Central to this scientific identity is the role of the</w:t>
      </w:r>
      <w:r>
        <w:t xml:space="preserve"> </w:t>
      </w:r>
      <w:r>
        <w:rPr>
          <w:bCs/>
          <w:b/>
        </w:rPr>
        <w:t xml:space="preserve">Chemist</w:t>
      </w:r>
      <w:r>
        <w:t xml:space="preserve">. Whether engaged in pharmaceutical research, materials science, or environmental sustainability, chemists are pivotal in addressing some of society's most pressing challenges.</w:t>
      </w:r>
    </w:p>
    <w:p>
      <w:pPr>
        <w:pStyle w:val="BodyText"/>
      </w:pPr>
      <w:r>
        <w:t xml:space="preserve">However, traditional models of chemical education often lag behind rapid technological advancements and shifting industrial needs. In a</w:t>
      </w:r>
      <w:r>
        <w:t xml:space="preserve"> </w:t>
      </w:r>
      <w:r>
        <w:rPr>
          <w:bCs/>
          <w:b/>
        </w:rPr>
        <w:t xml:space="preserve">Conference Paper</w:t>
      </w:r>
      <w:r>
        <w:t xml:space="preserve"> </w:t>
      </w:r>
      <w:r>
        <w:t xml:space="preserve">presented at the Manchester Institute for Chemical Innovation (MICI), this document outlines critical gaps in current training methodologies and proposes actionable strategies for improvement. The primary objective is to foster a new generation of chemists who are not only theoretically proficient but also practically skilled, ethically aware, and ready to collaborate in multidisciplinary teams.</w:t>
      </w:r>
    </w:p>
    <w:bookmarkEnd w:id="21"/>
    <w:bookmarkStart w:id="23" w:name="X2dc796fa60b72af028bec7066f9bec413f2a252"/>
    <w:p>
      <w:pPr>
        <w:pStyle w:val="Heading2"/>
      </w:pPr>
      <w:r>
        <w:t xml:space="preserve">2. The Manchester Ecosystem: A Hub for Chemical Innovation</w:t>
      </w:r>
    </w:p>
    <w:p>
      <w:pPr>
        <w:pStyle w:val="FirstParagraph"/>
      </w:pPr>
      <w:r>
        <w:t xml:space="preserve">The unique economic and academic landscape of</w:t>
      </w:r>
      <w:r>
        <w:t xml:space="preserve"> </w:t>
      </w:r>
      <w:r>
        <w:rPr>
          <w:bCs/>
          <w:b/>
        </w:rPr>
        <w:t xml:space="preserve">United Kingdom Manchester</w:t>
      </w:r>
      <w:r>
        <w:t xml:space="preserve"> </w:t>
      </w:r>
      <w:r>
        <w:t xml:space="preserve">provides a fertile ground for advancing chemical sciences. The presence of world-renowned institutions, such as the University of Manchester and Manchester Metropolitan University, combined with a dense concentration of biotech startups and established pharmaceutical companies like AstraZeneca’s nearby facilities, creates a dynamic environment for learning.</w:t>
      </w:r>
    </w:p>
    <w:p>
      <w:pPr>
        <w:pStyle w:val="BodyText"/>
      </w:pPr>
      <w:r>
        <w:t xml:space="preserve">In this context, the role of a</w:t>
      </w:r>
      <w:r>
        <w:t xml:space="preserve"> </w:t>
      </w:r>
      <w:r>
        <w:rPr>
          <w:bCs/>
          <w:b/>
        </w:rPr>
        <w:t xml:space="preserve">Chemist</w:t>
      </w:r>
      <w:r>
        <w:t xml:space="preserve"> </w:t>
      </w:r>
      <w:r>
        <w:t xml:space="preserve">extends beyond the laboratory bench. Modern chemists must possess strong communication skills to bridge the gap between scientific discovery and commercial application. Manchester’s ecosystem encourages this through initiatives such as the Manchester Science Partnership, which facilitates direct interaction between academics, students, and industry leaders.</w:t>
      </w:r>
    </w:p>
    <w:bookmarkStart w:id="22" w:name="key-industries-driving-demand"/>
    <w:p>
      <w:pPr>
        <w:pStyle w:val="Heading3"/>
      </w:pPr>
      <w:r>
        <w:t xml:space="preserve">2.1 Key Industries Driving Demand</w:t>
      </w:r>
    </w:p>
    <w:p>
      <w:pPr>
        <w:numPr>
          <w:ilvl w:val="0"/>
          <w:numId w:val="1001"/>
        </w:numPr>
        <w:pStyle w:val="Compact"/>
      </w:pPr>
      <w:r>
        <w:rPr>
          <w:bCs/>
          <w:b/>
        </w:rPr>
        <w:t xml:space="preserve">Pharmaceuticals:</w:t>
      </w:r>
      <w:r>
        <w:t xml:space="preserve"> </w:t>
      </w:r>
      <w:r>
        <w:t xml:space="preserve">With a focus on drug discovery and development, Manchester is home to numerous clinical trial sites and R&amp;D centers.</w:t>
      </w:r>
    </w:p>
    <w:p>
      <w:pPr>
        <w:numPr>
          <w:ilvl w:val="0"/>
          <w:numId w:val="1001"/>
        </w:numPr>
        <w:pStyle w:val="Compact"/>
      </w:pPr>
      <w:r>
        <w:rPr>
          <w:bCs/>
          <w:b/>
        </w:rPr>
        <w:t xml:space="preserve">Materials Science:</w:t>
      </w:r>
      <w:r>
        <w:t xml:space="preserve"> </w:t>
      </w:r>
      <w:r>
        <w:t xml:space="preserve">Innovations in nanomaterials and polymers are critical for electronics and sustainable manufacturing.</w:t>
      </w:r>
    </w:p>
    <w:p>
      <w:pPr>
        <w:numPr>
          <w:ilvl w:val="0"/>
          <w:numId w:val="1001"/>
        </w:numPr>
        <w:pStyle w:val="Compact"/>
      </w:pPr>
      <w:r>
        <w:rPr>
          <w:bCs/>
          <w:b/>
        </w:rPr>
        <w:t xml:space="preserve">Sustainability:</w:t>
      </w:r>
      <w:r>
        <w:t xml:space="preserve"> </w:t>
      </w:r>
      <w:r>
        <w:t xml:space="preserve">Green chemistry initiatives are prioritized to reduce carbon footprints, aligning with the UK’s net-zero commitments.</w:t>
      </w:r>
    </w:p>
    <w:bookmarkEnd w:id="22"/>
    <w:bookmarkEnd w:id="23"/>
    <w:bookmarkStart w:id="27" w:name="X784c40c90e9b4ab01e32d4b84561550ff47aa66"/>
    <w:p>
      <w:pPr>
        <w:pStyle w:val="Heading2"/>
      </w:pPr>
      <w:r>
        <w:t xml:space="preserve">3. Challenges in Traditional Chemical Education</w:t>
      </w:r>
    </w:p>
    <w:p>
      <w:pPr>
        <w:pStyle w:val="FirstParagraph"/>
      </w:pPr>
      <w:r>
        <w:t xml:space="preserve">A critical analysis of current curricula reveals several shortcomings that hinder the effectiveness of training a modern</w:t>
      </w:r>
      <w:r>
        <w:t xml:space="preserve"> </w:t>
      </w:r>
      <w:r>
        <w:rPr>
          <w:bCs/>
          <w:b/>
        </w:rPr>
        <w:t xml:space="preserve">Chemist</w:t>
      </w:r>
      <w:r>
        <w:t xml:space="preserve">. These challenges include:</w:t>
      </w:r>
    </w:p>
    <w:bookmarkStart w:id="24" w:name="disconnect-between-theory-and-practice"/>
    <w:p>
      <w:pPr>
        <w:pStyle w:val="Heading3"/>
      </w:pPr>
      <w:r>
        <w:t xml:space="preserve">3.1 Disconnect Between Theory and Practice</w:t>
      </w:r>
    </w:p>
    <w:p>
      <w:pPr>
        <w:pStyle w:val="FirstParagraph"/>
      </w:pPr>
      <w:r>
        <w:t xml:space="preserve">While theoretical knowledge is fundamental, many students struggle to apply concepts to real-world problems. Laboratory sessions in traditional settings often follow rigid protocols, limiting creativity and problem-solving opportunities.</w:t>
      </w:r>
    </w:p>
    <w:bookmarkEnd w:id="24"/>
    <w:bookmarkStart w:id="25" w:name="lack-of-interdisciplinary-exposure"/>
    <w:p>
      <w:pPr>
        <w:pStyle w:val="Heading3"/>
      </w:pPr>
      <w:r>
        <w:t xml:space="preserve">3.2 Lack of Interdisciplinary Exposure</w:t>
      </w:r>
    </w:p>
    <w:p>
      <w:pPr>
        <w:pStyle w:val="FirstParagraph"/>
      </w:pPr>
      <w:r>
        <w:t xml:space="preserve">The siloed nature of academic departments can prevent chemists from understanding the broader implications of their work in fields such as biology, data science, and engineering.</w:t>
      </w:r>
    </w:p>
    <w:bookmarkEnd w:id="25"/>
    <w:bookmarkStart w:id="26" w:name="insufficient-industry-integration"/>
    <w:p>
      <w:pPr>
        <w:pStyle w:val="Heading3"/>
      </w:pPr>
      <w:r>
        <w:t xml:space="preserve">3.4 Insufficient Industry Integration</w:t>
      </w:r>
    </w:p>
    <w:p>
      <w:pPr>
        <w:pStyle w:val="FirstParagraph"/>
      </w:pPr>
      <w:r>
        <w:t xml:space="preserve">Students often graduate with limited exposure to industrial workflows, regulatory standards (such as those enforced by the MHRA), and commercial pressures.</w:t>
      </w:r>
    </w:p>
    <w:bookmarkEnd w:id="26"/>
    <w:bookmarkEnd w:id="27"/>
    <w:bookmarkStart w:id="31" w:name="Xe8986ad3a6f70b875b72e49e5d645e44177741b"/>
    <w:p>
      <w:pPr>
        <w:pStyle w:val="Heading2"/>
      </w:pPr>
      <w:r>
        <w:t xml:space="preserve">4. Proposed Framework for Enhanced Chemist Training in Manchester</w:t>
      </w:r>
    </w:p>
    <w:p>
      <w:pPr>
        <w:pStyle w:val="FirstParagraph"/>
      </w:pPr>
      <w:r>
        <w:t xml:space="preserve">To address these challenges, we propose a multi-faceted framework designed specifically for institutions within</w:t>
      </w:r>
      <w:r>
        <w:t xml:space="preserve"> </w:t>
      </w:r>
      <w:r>
        <w:rPr>
          <w:bCs/>
          <w:b/>
        </w:rPr>
        <w:t xml:space="preserve">United Kingdom Manchester</w:t>
      </w:r>
      <w:r>
        <w:t xml:space="preserve">. This approach leverages local resources to create a robust educational model.</w:t>
      </w:r>
    </w:p>
    <w:bookmarkStart w:id="28" w:name="integrated-laboratory-modules"/>
    <w:p>
      <w:pPr>
        <w:pStyle w:val="Heading3"/>
      </w:pPr>
      <w:r>
        <w:t xml:space="preserve">4.1 Integrated Laboratory Modules</w:t>
      </w:r>
    </w:p>
    <w:p>
      <w:pPr>
        <w:pStyle w:val="FirstParagraph"/>
      </w:pPr>
      <w:r>
        <w:t xml:space="preserve">We recommend introducing "Challenge-Based Learning" (CBL) modules where students work on open-ended problems provided by industry partners. For example, a</w:t>
      </w:r>
      <w:r>
        <w:t xml:space="preserve"> </w:t>
      </w:r>
      <w:r>
        <w:rPr>
          <w:bCs/>
          <w:b/>
        </w:rPr>
        <w:t xml:space="preserve">Chemist</w:t>
      </w:r>
      <w:r>
        <w:t xml:space="preserve">-in-training might be tasked with optimizing a synthesis pathway to reduce waste, directly mirroring industrial sustainability goals.</w:t>
      </w:r>
    </w:p>
    <w:bookmarkEnd w:id="28"/>
    <w:bookmarkStart w:id="29" w:name="cross-disciplinary-consortia"/>
    <w:p>
      <w:pPr>
        <w:pStyle w:val="Heading3"/>
      </w:pPr>
      <w:r>
        <w:t xml:space="preserve">4.2 Cross-Disciplinary Consortia</w:t>
      </w:r>
    </w:p>
    <w:p>
      <w:pPr>
        <w:pStyle w:val="FirstParagraph"/>
      </w:pPr>
      <w:r>
        <w:t xml:space="preserve">Leveraging Manchester’s strengths in both science and humanities, we propose the establishment of cross-departmental workshops. These sessions would encourage chemists to collaborate with computer scientists on AI-driven drug discovery or with ethicists on responsible innovation.</w:t>
      </w:r>
    </w:p>
    <w:bookmarkEnd w:id="29"/>
    <w:bookmarkStart w:id="30" w:name="industry-immersion-programs"/>
    <w:p>
      <w:pPr>
        <w:pStyle w:val="Heading3"/>
      </w:pPr>
      <w:r>
        <w:t xml:space="preserve">4.3 Industry Immersion Programs</w:t>
      </w:r>
    </w:p>
    <w:p>
      <w:pPr>
        <w:pStyle w:val="FirstParagraph"/>
      </w:pPr>
      <w:r>
        <w:t xml:space="preserve">Mandatory internships and "sandwich years" should be integrated into undergraduate degrees. Partnerships with local companies in</w:t>
      </w:r>
      <w:r>
        <w:t xml:space="preserve"> </w:t>
      </w:r>
      <w:r>
        <w:rPr>
          <w:bCs/>
          <w:b/>
        </w:rPr>
        <w:t xml:space="preserve">United Kingdom Manchester</w:t>
      </w:r>
      <w:r>
        <w:t xml:space="preserve">, such as those in the Altrincham Life Sciences Hub, can provide students with firsthand experience of professional environments.</w:t>
      </w:r>
    </w:p>
    <w:bookmarkEnd w:id="30"/>
    <w:bookmarkEnd w:id="31"/>
    <w:bookmarkStart w:id="32" w:name="X7943fc80837c95e375a17aab8698de44fa42868"/>
    <w:p>
      <w:pPr>
        <w:pStyle w:val="Heading2"/>
      </w:pPr>
      <w:r>
        <w:t xml:space="preserve">5. Case Study: The Manchester Green Chemistry Initiative</w:t>
      </w:r>
    </w:p>
    <w:p>
      <w:pPr>
        <w:pStyle w:val="FirstParagraph"/>
      </w:pPr>
      <w:r>
        <w:t xml:space="preserve">A prime example of this framework in action is the recent collaboration between local universities and manufacturing firms to develop green solvents. In this project, a team of</w:t>
      </w:r>
      <w:r>
        <w:t xml:space="preserve"> </w:t>
      </w:r>
      <w:r>
        <w:rPr>
          <w:bCs/>
          <w:b/>
        </w:rPr>
        <w:t xml:space="preserve">Chemist</w:t>
      </w:r>
      <w:r>
        <w:t xml:space="preserve">-in-training students worked alongside senior scientists to replace toxic solvents with bio-based alternatives. The project not only resulted in a peer-reviewed publication but also led to a patent application by the participating firm.</w:t>
      </w:r>
    </w:p>
    <w:p>
      <w:pPr>
        <w:pStyle w:val="BodyText"/>
      </w:pPr>
      <w:r>
        <w:t xml:space="preserve">This case study illustrates the tangible benefits of an integrated educational approach. It demonstrates how theoretical knowledge, practical skill, and industry relevance can converge within the Manchester context.</w:t>
      </w:r>
    </w:p>
    <w:bookmarkEnd w:id="32"/>
    <w:bookmarkStart w:id="34" w:name="the-role-of-policy-and-funding"/>
    <w:p>
      <w:pPr>
        <w:pStyle w:val="Heading2"/>
      </w:pPr>
      <w:r>
        <w:t xml:space="preserve">6. The Role of Policy and Funding</w:t>
      </w:r>
    </w:p>
    <w:p>
      <w:pPr>
        <w:pStyle w:val="FirstParagraph"/>
      </w:pPr>
      <w:r>
        <w:t xml:space="preserve">Sustaining these improvements requires robust policy support and funding from bodies such as UK Research and Innovation (UKRI) and local government entities in</w:t>
      </w:r>
      <w:r>
        <w:t xml:space="preserve"> </w:t>
      </w:r>
      <w:r>
        <w:rPr>
          <w:bCs/>
          <w:b/>
        </w:rPr>
        <w:t xml:space="preserve">United Kingdom Manchester</w:t>
      </w:r>
      <w:r>
        <w:t xml:space="preserve">. Policies should incentivize universities to prioritize industry partnerships and fund infrastructure upgrades that facilitate hands-on learning.</w:t>
      </w:r>
    </w:p>
    <w:bookmarkStart w:id="33" w:name="funding-priorities"/>
    <w:p>
      <w:pPr>
        <w:pStyle w:val="Heading3"/>
      </w:pPr>
      <w:r>
        <w:t xml:space="preserve">6.1 Funding Priorities</w:t>
      </w:r>
    </w:p>
    <w:p>
      <w:pPr>
        <w:numPr>
          <w:ilvl w:val="0"/>
          <w:numId w:val="1002"/>
        </w:numPr>
        <w:pStyle w:val="Compact"/>
      </w:pPr>
      <w:r>
        <w:rPr>
          <w:bCs/>
          <w:b/>
        </w:rPr>
        <w:t xml:space="preserve">Laboratory Modernization:</w:t>
      </w:r>
      <w:r>
        <w:t xml:space="preserve"> </w:t>
      </w:r>
      <w:r>
        <w:t xml:space="preserve">Upgrading facilities with automated systems and AI-integrated tools.</w:t>
      </w:r>
    </w:p>
    <w:p>
      <w:pPr>
        <w:numPr>
          <w:ilvl w:val="0"/>
          <w:numId w:val="1002"/>
        </w:numPr>
        <w:pStyle w:val="Compact"/>
      </w:pPr>
      <w:r>
        <w:rPr>
          <w:bCs/>
          <w:b/>
        </w:rPr>
        <w:t xml:space="preserve">Scholarships for Industry Placements:</w:t>
      </w:r>
      <w:r>
        <w:t xml:space="preserve"> </w:t>
      </w:r>
      <w:r>
        <w:t xml:space="preserve">Supporting students who undertake extended internships.</w:t>
      </w:r>
    </w:p>
    <w:p>
      <w:pPr>
        <w:numPr>
          <w:ilvl w:val="0"/>
          <w:numId w:val="1002"/>
        </w:numPr>
        <w:pStyle w:val="Compact"/>
      </w:pPr>
      <w:r>
        <w:rPr>
          <w:bCs/>
          <w:b/>
        </w:rPr>
        <w:t xml:space="preserve">Pilot Programs for Green Chemistry:</w:t>
      </w:r>
      <w:r>
        <w:t xml:space="preserve"> </w:t>
      </w:r>
      <w:r>
        <w:t xml:space="preserve">Funding research that focuses on sustainable practices.</w:t>
      </w:r>
    </w:p>
    <w:bookmarkEnd w:id="33"/>
    <w:bookmarkEnd w:id="34"/>
    <w:bookmarkStart w:id="35" w:name="conclusion"/>
    <w:p>
      <w:pPr>
        <w:pStyle w:val="Heading2"/>
      </w:pPr>
      <w:r>
        <w:t xml:space="preserve">7. Conclusion</w:t>
      </w:r>
    </w:p>
    <w:p>
      <w:pPr>
        <w:pStyle w:val="FirstParagraph"/>
      </w:pPr>
      <w:r>
        <w:t xml:space="preserve">The future of chemical sciences in</w:t>
      </w:r>
      <w:r>
        <w:t xml:space="preserve"> </w:t>
      </w:r>
      <w:r>
        <w:rPr>
          <w:bCs/>
          <w:b/>
        </w:rPr>
        <w:t xml:space="preserve">United Kingdom ManchesterChemist</w:t>
      </w:r>
      <w:r>
        <w:t xml:space="preserve">-in-training through integrated, interdisciplinary, and industry-linked approaches, we can ensure that Manchester remains at the forefront of scientific innovation.</w:t>
      </w:r>
    </w:p>
    <w:p>
      <w:pPr>
        <w:pStyle w:val="BodyText"/>
      </w:pPr>
      <w:r>
        <w:t xml:space="preserve">This</w:t>
      </w:r>
      <w:r>
        <w:t xml:space="preserve"> </w:t>
      </w:r>
      <w:r>
        <w:rPr>
          <w:bCs/>
          <w:b/>
        </w:rPr>
        <w:t xml:space="preserve">Conference Paper</w:t>
      </w:r>
      <w:r>
        <w:t xml:space="preserve"> </w:t>
      </w:r>
      <w:r>
        <w:t xml:space="preserve">serves as a call to action for educators, policymakers, and industry leaders. We must collaborate to build an ecosystem where theoretical excellence meets practical application. The unique advantages of</w:t>
      </w:r>
      <w:r>
        <w:t xml:space="preserve"> </w:t>
      </w:r>
      <w:r>
        <w:rPr>
          <w:bCs/>
          <w:b/>
        </w:rPr>
        <w:t xml:space="preserve">United Kingdom Manchester</w:t>
      </w:r>
      <w:r>
        <w:t xml:space="preserve">, combined with a committed approach to training the next generation of chemists, will undoubtedly yield significant benefits for the scientific community and society at large.</w:t>
      </w:r>
    </w:p>
    <w:bookmarkEnd w:id="35"/>
    <w:bookmarkStart w:id="36" w:name="references"/>
    <w:p>
      <w:pPr>
        <w:pStyle w:val="Heading2"/>
      </w:pPr>
      <w:r>
        <w:t xml:space="preserve">8. References</w:t>
      </w:r>
    </w:p>
    <w:p>
      <w:pPr>
        <w:pStyle w:val="FirstParagraph"/>
      </w:pPr>
      <w:r>
        <w:rPr>
          <w:iCs/>
          <w:i/>
        </w:rPr>
        <w:t xml:space="preserve">Note: References are illustrative for the purpose of this document structure.</w:t>
      </w:r>
    </w:p>
    <w:p>
      <w:pPr>
        <w:numPr>
          <w:ilvl w:val="0"/>
          <w:numId w:val="1003"/>
        </w:numPr>
        <w:pStyle w:val="Compact"/>
      </w:pPr>
      <w:r>
        <w:t xml:space="preserve">Middleton, D., &amp; O’Hara, P. (2023). *The Industrial Legacy of Manchester*. University Press.</w:t>
      </w:r>
    </w:p>
    <w:p>
      <w:pPr>
        <w:numPr>
          <w:ilvl w:val="0"/>
          <w:numId w:val="1003"/>
        </w:numPr>
        <w:pStyle w:val="Compact"/>
      </w:pPr>
      <w:r>
        <w:t xml:space="preserve">Royal Society of Chemistry. (2024). *Future Trends in Medicinal Chemistry Education*.</w:t>
      </w:r>
    </w:p>
    <w:p>
      <w:pPr>
        <w:numPr>
          <w:ilvl w:val="0"/>
          <w:numId w:val="1003"/>
        </w:numPr>
        <w:pStyle w:val="Compact"/>
      </w:pPr>
      <w:r>
        <w:t xml:space="preserve">Greater Manchester Combined Authority. (2023). *Strategic Plan for Life Sciences and Digital Innovation*.</w:t>
      </w:r>
    </w:p>
    <w:p>
      <w:pPr>
        <w:numPr>
          <w:ilvl w:val="0"/>
          <w:numId w:val="1003"/>
        </w:numPr>
        <w:pStyle w:val="Compact"/>
      </w:pPr>
      <w:r>
        <w:t xml:space="preserve">AstraZeneca UK Ltd. (2024). *Annual Report on Sustainable Manufacturing Practices*.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Medicinal Chemistry: A United Kingdom Manchester Perspective</dc:title>
  <dc:creator/>
  <dc:language>en</dc:language>
  <cp:keywords/>
  <dcterms:created xsi:type="dcterms:W3CDTF">2026-07-29T18:21:22Z</dcterms:created>
  <dcterms:modified xsi:type="dcterms:W3CDTF">2026-07-29T18:21:22Z</dcterms:modified>
</cp:coreProperties>
</file>

<file path=docProps/custom.xml><?xml version="1.0" encoding="utf-8"?>
<Properties xmlns="http://schemas.openxmlformats.org/officeDocument/2006/custom-properties" xmlns:vt="http://schemas.openxmlformats.org/officeDocument/2006/docPropsVTypes"/>
</file>