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Chicago</w:t>
      </w:r>
    </w:p>
    <w:bookmarkStart w:id="28" w:name="Xe91d6fb22a9eafa64c21fec444d0fad50ead999"/>
    <w:p>
      <w:pPr>
        <w:pStyle w:val="Heading1"/>
      </w:pPr>
      <w:r>
        <w:t xml:space="preserve">The Evolution and Future of the Chemist in the Modern Era: A Perspective from United States Chicago</w:t>
      </w:r>
    </w:p>
    <w:p>
      <w:pPr>
        <w:pStyle w:val="FirstParagraph"/>
      </w:pPr>
      <w:r>
        <w:rPr>
          <w:iCs/>
          <w:i/>
          <w:bCs/>
          <w:b/>
        </w:rPr>
        <w:t xml:space="preserve">To be presented at the International Symposium on Chemical Sciences, United States Chicago.</w:t>
      </w:r>
    </w:p>
    <w:bookmarkStart w:id="20" w:name="abstract"/>
    <w:p>
      <w:pPr>
        <w:pStyle w:val="Heading2"/>
      </w:pPr>
      <w:r>
        <w:t xml:space="preserve">Abstract</w:t>
      </w:r>
    </w:p>
    <w:p>
      <w:pPr>
        <w:pStyle w:val="FirstParagraph"/>
      </w:pPr>
      <w:r>
        <w:t xml:space="preserve">The role of the modern chemist has undergone a profound transformation over the last century. No longer confined to isolated laboratory benches conducting basic synthesis, today’s practitioner operates at the intersection of data science, sustainability, public policy, and industrial innovation. This paper examines the shifting paradigm of chemical research and application, with specific emphasis on emerging trends in green chemistry, pharmaceutical development in biotech hubs like</w:t>
      </w:r>
      <w:r>
        <w:t xml:space="preserve"> </w:t>
      </w:r>
      <w:r>
        <w:rPr>
          <w:bCs/>
          <w:b/>
        </w:rPr>
        <w:t xml:space="preserve">United States Chicago</w:t>
      </w:r>
      <w:r>
        <w:t xml:space="preserve">, and the educational mandates required to sustain this evolving workforce. As we stand at a technological precipice where artificial intelligence aids molecular design, the identity of the</w:t>
      </w:r>
      <w:r>
        <w:t xml:space="preserve"> </w:t>
      </w:r>
      <w:r>
        <w:rPr>
          <w:bCs/>
          <w:b/>
        </w:rPr>
        <w:t xml:space="preserve">Chemist</w:t>
      </w:r>
      <w:r>
        <w:t xml:space="preserve"> </w:t>
      </w:r>
      <w:r>
        <w:t xml:space="preserve">is being redefined. Through case studies from industrial partners in Illinois and global collaborations, we argue that future training must emphasize interdisciplinary fluency alongside rigorous analytical fundamentals.</w:t>
      </w:r>
    </w:p>
    <w:p>
      <w:pPr>
        <w:pStyle w:val="BodyText"/>
      </w:pPr>
      <w:r>
        <w:rPr>
          <w:iCs/>
          <w:i/>
          <w:bCs/>
          <w:b/>
        </w:rPr>
        <w:t xml:space="preserve">Keywords:</w:t>
      </w:r>
      <w:r>
        <w:t xml:space="preserve"> </w:t>
      </w:r>
      <w:r>
        <w:t xml:space="preserve">Chemist, Green Chemistry, United States Chicago Pharmaceutical Hub, Computational Chemistry, Chemical Education Policy.</w:t>
      </w:r>
    </w:p>
    <w:bookmarkEnd w:id="20"/>
    <w:bookmarkStart w:id="21" w:name="i.-introduction"/>
    <w:p>
      <w:pPr>
        <w:pStyle w:val="Heading2"/>
      </w:pPr>
      <w:r>
        <w:t xml:space="preserve">I. Introduction</w:t>
      </w:r>
    </w:p>
    <w:p>
      <w:pPr>
        <w:pStyle w:val="FirstParagraph"/>
      </w:pPr>
      <w:r>
        <w:t xml:space="preserve">The discipline of chemistry is often perceived as a static science governed by immutable laws of thermodynamics and kinetics. However, the application and practice of these laws are dynamic, responsive to societal needs, economic drivers, and technological breakthroughs. As we convene in this seminal gathering within</w:t>
      </w:r>
      <w:r>
        <w:t xml:space="preserve"> </w:t>
      </w:r>
      <w:r>
        <w:rPr>
          <w:bCs/>
          <w:b/>
        </w:rPr>
        <w:t xml:space="preserve">United States Chicago</w:t>
      </w:r>
      <w:r>
        <w:t xml:space="preserve">, a city historically rooted in heavy industry yet rapidly ascending as a premier hub for life sciences innovation, it is imperative to reflect on what it means to be a chemist today. The traditional archetype of the solitary scientist mixing reagents is giving way to a collaborative entity that integrates computational modeling, environmental stewardship, and regulatory compliance.</w:t>
      </w:r>
    </w:p>
    <w:p>
      <w:pPr>
        <w:pStyle w:val="BodyText"/>
      </w:pPr>
      <w:r>
        <w:t xml:space="preserve">This paper posits that the value of a modern</w:t>
      </w:r>
      <w:r>
        <w:t xml:space="preserve"> </w:t>
      </w:r>
      <w:r>
        <w:rPr>
          <w:bCs/>
          <w:b/>
        </w:rPr>
        <w:t xml:space="preserve">Chemist</w:t>
      </w:r>
      <w:r>
        <w:t xml:space="preserve"> </w:t>
      </w:r>
      <w:r>
        <w:t xml:space="preserve">lies not merely in their ability to synthesize new compounds, but in their capacity to solve complex systemic problems related to health, sustainability, and energy. By analyzing current trajectories in academic research and industrial R&amp;D sectors within the Midwest United States, we highlight three critical areas of focus: the rise of green chemistry protocols, the integration of machine learning in molecular discovery, and the imperative for robust public communication by scientific professionals.</w:t>
      </w:r>
    </w:p>
    <w:bookmarkEnd w:id="21"/>
    <w:bookmarkStart w:id="22" w:name="Xf92c7c9de333f92467fd5c514a9048260e8e512"/>
    <w:p>
      <w:pPr>
        <w:pStyle w:val="Heading2"/>
      </w:pPr>
      <w:r>
        <w:t xml:space="preserve">II. The Green Revolution: Sustainability as a Core Competency</w:t>
      </w:r>
    </w:p>
    <w:p>
      <w:pPr>
        <w:pStyle w:val="FirstParagraph"/>
      </w:pPr>
      <w:r>
        <w:t xml:space="preserve">In recent decades, environmental concerns have shifted from peripheral considerations to central tenets of chemical engineering and laboratory practice. The principles of Green Chemistry, originally formulated by Paul Anastas and John Warner in the 1990s, are now integral to curricula for aspiring</w:t>
      </w:r>
      <w:r>
        <w:t xml:space="preserve"> </w:t>
      </w:r>
      <w:r>
        <w:rPr>
          <w:bCs/>
          <w:b/>
        </w:rPr>
        <w:t xml:space="preserve">Chemists</w:t>
      </w:r>
      <w:r>
        <w:t xml:space="preserve">. These twelve principles advocate for the prevention of waste, atom economy less hazardous syntheses, and the design of safer chemicals.</w:t>
      </w:r>
    </w:p>
    <w:p>
      <w:pPr>
        <w:pStyle w:val="BodyText"/>
      </w:pPr>
      <w:r>
        <w:t xml:space="preserve">In</w:t>
      </w:r>
      <w:r>
        <w:t xml:space="preserve"> </w:t>
      </w:r>
      <w:r>
        <w:rPr>
          <w:bCs/>
          <w:b/>
        </w:rPr>
        <w:t xml:space="preserve">United States Chicago</w:t>
      </w:r>
      <w:r>
        <w:t xml:space="preserve">, this shift is particularly visible. The region has historically been a center for manufacturing and industrial chemistry. Today, however, legacy companies are pivoting toward biodegradable materials and non-toxic solvents to meet stringent federal and state regulations. For the modern</w:t>
      </w:r>
      <w:r>
        <w:t xml:space="preserve"> </w:t>
      </w:r>
      <w:r>
        <w:rPr>
          <w:bCs/>
          <w:b/>
        </w:rPr>
        <w:t xml:space="preserve">Chemist</w:t>
      </w:r>
      <w:r>
        <w:t xml:space="preserve">, proficiency in lifecycle analysis (LCA) is becoming as important as proficiency in nuclear magnetic resonance (NMR) spectroscopy. The ability to assess the environmental footprint of a chemical process from raw material extraction to end-of-life disposal is a critical skill set that distinguishes contemporary practitioners from their predecessors.</w:t>
      </w:r>
    </w:p>
    <w:p>
      <w:pPr>
        <w:pStyle w:val="BodyText"/>
      </w:pPr>
      <w:r>
        <w:t xml:space="preserve">Furthermore, the circular economy concept demands that</w:t>
      </w:r>
      <w:r>
        <w:t xml:space="preserve"> </w:t>
      </w:r>
      <w:r>
        <w:rPr>
          <w:bCs/>
          <w:b/>
        </w:rPr>
        <w:t xml:space="preserve">Chemists</w:t>
      </w:r>
      <w:r>
        <w:t xml:space="preserve"> </w:t>
      </w:r>
      <w:r>
        <w:t xml:space="preserve">design products with recyclability in mind. This requires a fundamental rethinking of polymer chemistry and catalysis. Research currently underway in Chicago laboratories focuses on enzymatic recycling of plastics and the development of catalysts that operate under mild conditions, thereby reducing energy consumption. These advancements underscore that sustainability is no longer an optional add-on but a foundational requirement for chemical innovation.</w:t>
      </w:r>
    </w:p>
    <w:bookmarkEnd w:id="22"/>
    <w:bookmarkStart w:id="23" w:name="X94bc10b67a7dd3bbcd3cfaf5d8d053669d272c3"/>
    <w:p>
      <w:pPr>
        <w:pStyle w:val="Heading2"/>
      </w:pPr>
      <w:r>
        <w:t xml:space="preserve">III. The Digital Chemist: AI and Computational Integration</w:t>
      </w:r>
    </w:p>
    <w:p>
      <w:pPr>
        <w:pStyle w:val="FirstParagraph"/>
      </w:pPr>
      <w:r>
        <w:t xml:space="preserve">The advent of artificial intelligence (AI) and high-performance computing has ushered in a new era for the profession. The role of the</w:t>
      </w:r>
      <w:r>
        <w:t xml:space="preserve"> </w:t>
      </w:r>
      <w:r>
        <w:rPr>
          <w:bCs/>
          <w:b/>
        </w:rPr>
        <w:t xml:space="preserve">Chemist</w:t>
      </w:r>
      <w:r>
        <w:t xml:space="preserve"> </w:t>
      </w:r>
      <w:r>
        <w:t xml:space="preserve">is increasingly hybrid, requiring fluency in both wet-lab techniques and computational tools. Machine learning algorithms can now predict molecular properties, optimize reaction conditions, and identify potential drug candidates with unprecedented speed.</w:t>
      </w:r>
    </w:p>
    <w:p>
      <w:pPr>
        <w:pStyle w:val="BodyText"/>
      </w:pPr>
      <w:r>
        <w:t xml:space="preserve">In</w:t>
      </w:r>
      <w:r>
        <w:t xml:space="preserve"> </w:t>
      </w:r>
      <w:r>
        <w:rPr>
          <w:bCs/>
          <w:b/>
        </w:rPr>
        <w:t xml:space="preserve">United States Chicago</w:t>
      </w:r>
      <w:r>
        <w:t xml:space="preserve">, a growing ecosystem of startups and academic institutions is leveraging these technologies. The integration of AI allows for "inverse design," where desired molecular properties are input into algorithms to generate candidate structures for synthesis. This drastically reduces the time required for discovery phases in pharmaceuticals, which directly benefits public health outcomes.</w:t>
      </w:r>
    </w:p>
    <w:p>
      <w:pPr>
        <w:pStyle w:val="BodyText"/>
      </w:pPr>
      <w:r>
        <w:t xml:space="preserve">However, this digitization raises questions about skill sets. Does the rise of automated synthesis and digital prediction diminish the need for hands-on laboratory skills? We argue that while automation handles routine tasks, human intuition remains vital. The modern</w:t>
      </w:r>
      <w:r>
        <w:t xml:space="preserve"> </w:t>
      </w:r>
      <w:r>
        <w:rPr>
          <w:bCs/>
          <w:b/>
        </w:rPr>
        <w:t xml:space="preserve">Chemist</w:t>
      </w:r>
      <w:r>
        <w:t xml:space="preserve"> </w:t>
      </w:r>
      <w:r>
        <w:t xml:space="preserve">must possess the critical thinking skills to interpret AI-generated data, validate computational models with experimental results, and troubleshoot anomalies that algorithms may miss. Therefore, educational programs must evolve to offer dual-track training in chemistry and data science.</w:t>
      </w:r>
    </w:p>
    <w:bookmarkEnd w:id="23"/>
    <w:bookmarkStart w:id="24" w:name="Xe07cadf794d8f77a4c2970721ad27f87b59caf9"/>
    <w:p>
      <w:pPr>
        <w:pStyle w:val="Heading2"/>
      </w:pPr>
      <w:r>
        <w:t xml:space="preserve">IV. The Role of the Chemist in Public Health and Safety</w:t>
      </w:r>
    </w:p>
    <w:p>
      <w:pPr>
        <w:pStyle w:val="FirstParagraph"/>
      </w:pPr>
      <w:r>
        <w:t xml:space="preserve">Beyond innovation, there is a pressing social responsibility incumbent upon every practicing chemist: public health protection. The events of recent years have highlighted the critical importance of rapid diagnostic development and vaccine production—fields heavily reliant on biochemistry and organic synthesis.</w:t>
      </w:r>
    </w:p>
    <w:p>
      <w:pPr>
        <w:pStyle w:val="BodyText"/>
      </w:pPr>
      <w:r>
        <w:t xml:space="preserve">In the context of</w:t>
      </w:r>
      <w:r>
        <w:t xml:space="preserve"> </w:t>
      </w:r>
      <w:r>
        <w:rPr>
          <w:bCs/>
          <w:b/>
        </w:rPr>
        <w:t xml:space="preserve">United States Chicago</w:t>
      </w:r>
      <w:r>
        <w:t xml:space="preserve">, local hospitals, research centers, and pharmaceutical firms have played pivotal roles in regional health security. The modern</w:t>
      </w:r>
      <w:r>
        <w:t xml:space="preserve"> </w:t>
      </w:r>
      <w:r>
        <w:rPr>
          <w:bCs/>
          <w:b/>
        </w:rPr>
        <w:t xml:space="preserve">Chemist</w:t>
      </w:r>
      <w:r>
        <w:t xml:space="preserve"> </w:t>
      </w:r>
      <w:r>
        <w:t xml:space="preserve">acts as a gatekeeper of safety, ensuring that new materials introduced to the market do not pose latent risks to human health or ecological stability. This involves rigorous toxicological screening and adherence to Good Laboratory Practices (GLP).</w:t>
      </w:r>
    </w:p>
    <w:bookmarkEnd w:id="24"/>
    <w:bookmarkStart w:id="25" w:name="Xd7753607b9dfdc40d2fb3f320ced8b59f7aa130"/>
    <w:p>
      <w:pPr>
        <w:pStyle w:val="Heading2"/>
      </w:pPr>
      <w:r>
        <w:t xml:space="preserve">V. Educational Imperatives for Future Generations</w:t>
      </w:r>
    </w:p>
    <w:p>
      <w:pPr>
        <w:pStyle w:val="FirstParagraph"/>
      </w:pPr>
      <w:r>
        <w:t xml:space="preserve">To sustain this evolving field, educational institutions must adapt their curricula. We propose a framework for chemical education that emphasizes interdisciplinary collaboration. Students should be exposed to coursework in environmental science, policy-making, and computer science alongside traditional chemistry modules.</w:t>
      </w:r>
    </w:p>
    <w:p>
      <w:pPr>
        <w:pStyle w:val="BodyText"/>
      </w:pPr>
      <w:r>
        <w:t xml:space="preserve">Institutions in Illinois are already taking steps toward this model by establishing joint degree programs between colleges of arts and sciences and schools of engineering or public health. Mentorship from industry leaders in</w:t>
      </w:r>
      <w:r>
        <w:t xml:space="preserve"> </w:t>
      </w:r>
      <w:r>
        <w:rPr>
          <w:bCs/>
          <w:b/>
        </w:rPr>
        <w:t xml:space="preserve">United States Chicago</w:t>
      </w:r>
      <w:r>
        <w:t xml:space="preserve">, where the concentration of biotech firms is high, provides students with practical insights into the real-world applications of their studies.</w:t>
      </w:r>
    </w:p>
    <w:bookmarkEnd w:id="25"/>
    <w:bookmarkStart w:id="26" w:name="vi.-conclusion"/>
    <w:p>
      <w:pPr>
        <w:pStyle w:val="Heading2"/>
      </w:pPr>
      <w:r>
        <w:t xml:space="preserve">VI. Conclusion</w:t>
      </w:r>
    </w:p>
    <w:p>
      <w:pPr>
        <w:pStyle w:val="FirstParagraph"/>
      </w:pPr>
      <w:r>
        <w:t xml:space="preserve">The trajectory of chemical science points toward a future where the boundaries between disciplines blur. The role of the</w:t>
      </w:r>
      <w:r>
        <w:t xml:space="preserve"> </w:t>
      </w:r>
      <w:r>
        <w:rPr>
          <w:bCs/>
          <w:b/>
        </w:rPr>
        <w:t xml:space="preserve">Chemist</w:t>
      </w:r>
      <w:r>
        <w:t xml:space="preserve"> </w:t>
      </w:r>
      <w:r>
        <w:t xml:space="preserve">has expanded from molecule maker to systems thinker, sustainability advocate, and digital innovator. As we look ahead, it is clear that maintaining relevance in this field requires continuous learning and adaptation.</w:t>
      </w:r>
    </w:p>
    <w:p>
      <w:pPr>
        <w:pStyle w:val="BodyText"/>
      </w:pPr>
      <w:r>
        <w:t xml:space="preserve">The vibrant scientific community in</w:t>
      </w:r>
      <w:r>
        <w:t xml:space="preserve"> </w:t>
      </w:r>
      <w:r>
        <w:rPr>
          <w:bCs/>
          <w:b/>
        </w:rPr>
        <w:t xml:space="preserve">United States Chicago</w:t>
      </w:r>
      <w:r>
        <w:t xml:space="preserve">, with its unique blend of historical industrial strength and cutting-edge biotech innovation, serves as a microcosm for these global trends. By embracing green technologies, leveraging computational power, and prioritizing public safety, today's chemists are shaping a sustainable future. We urge policymakers, educators, and industry leaders to support this transformation through increased funding for interdisciplinary research and robust educational reform.</w:t>
      </w:r>
    </w:p>
    <w:bookmarkEnd w:id="26"/>
    <w:bookmarkStart w:id="27" w:name="vii.-references"/>
    <w:p>
      <w:pPr>
        <w:pStyle w:val="Heading2"/>
      </w:pPr>
      <w:r>
        <w:t xml:space="preserve">VII. References</w:t>
      </w:r>
    </w:p>
    <w:p>
      <w:pPr>
        <w:numPr>
          <w:ilvl w:val="0"/>
          <w:numId w:val="1001"/>
        </w:numPr>
        <w:pStyle w:val="Compact"/>
      </w:pPr>
      <w:r>
        <w:t xml:space="preserve">Anastas, P. T., &amp; Warner, J. C. (1998). Green Chemistry: Theory and Practice. Oxford University Press.</w:t>
      </w:r>
    </w:p>
    <w:p>
      <w:pPr>
        <w:numPr>
          <w:ilvl w:val="0"/>
          <w:numId w:val="1001"/>
        </w:numPr>
        <w:pStyle w:val="Compact"/>
      </w:pPr>
      <w:r>
        <w:t xml:space="preserve">Brownlee, J., et al. (2020). Machine Learning for Drug Discovery in the Age of AI. Journal of Computational Chemistry, 41(5).</w:t>
      </w:r>
    </w:p>
    <w:p>
      <w:pPr>
        <w:numPr>
          <w:ilvl w:val="0"/>
          <w:numId w:val="1001"/>
        </w:numPr>
        <w:pStyle w:val="Compact"/>
      </w:pPr>
      <w:r>
        <w:t xml:space="preserve">Illinois State Board of Education. (2023). Curriculum Standards for Advanced Chemistry and Data Science.</w:t>
      </w:r>
    </w:p>
    <w:p>
      <w:pPr>
        <w:numPr>
          <w:ilvl w:val="0"/>
          <w:numId w:val="1001"/>
        </w:numPr>
        <w:pStyle w:val="Compact"/>
      </w:pPr>
      <w:r>
        <w:t xml:space="preserve">National Academies of Sciences, Engineering, and Medicine. (2019). The Future of the Chemical Workforce in the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Chemist in the Modern Era: A Perspective from United States Chicago</dc:title>
  <dc:creator/>
  <dc:language>en</dc:language>
  <cp:keywords/>
  <dcterms:created xsi:type="dcterms:W3CDTF">2026-07-29T23:09:33Z</dcterms:created>
  <dcterms:modified xsi:type="dcterms:W3CDTF">2026-07-29T23:09:33Z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