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a</w:t>
      </w:r>
      <w:r>
        <w:t xml:space="preserve"> </w:t>
      </w:r>
      <w:r>
        <w:t xml:space="preserve">Modern</w:t>
      </w:r>
      <w:r>
        <w:t xml:space="preserve"> </w:t>
      </w:r>
      <w:r>
        <w:t xml:space="preserve">Context:</w:t>
      </w:r>
      <w:r>
        <w:t xml:space="preserve"> </w:t>
      </w:r>
      <w:r>
        <w:t xml:space="preserve">A</w:t>
      </w:r>
      <w:r>
        <w:t xml:space="preserve"> </w:t>
      </w:r>
      <w:r>
        <w:t xml:space="preserve">Conference</w:t>
      </w:r>
      <w:r>
        <w:t xml:space="preserve"> </w:t>
      </w:r>
      <w:r>
        <w:t xml:space="preserve">Paper</w:t>
      </w:r>
    </w:p>
    <w:bookmarkStart w:id="35" w:name="X33ab3d6bfb4da000d8f62e1c3fa18945f9ed953"/>
    <w:p>
      <w:pPr>
        <w:pStyle w:val="Heading1"/>
      </w:pPr>
      <w:r>
        <w:t xml:space="preserve">The Evolution of Dental Practice in a Modern Context:</w:t>
      </w:r>
      <w:r>
        <w:br/>
      </w:r>
      <w:r>
        <w:t xml:space="preserve">Focusing on Patient-Centric Care and Technological Integration</w:t>
      </w:r>
    </w:p>
    <w:p>
      <w:pPr>
        <w:pStyle w:val="FirstParagraph"/>
      </w:pPr>
      <w:r>
        <w:rPr>
          <w:bCs/>
          <w:b/>
        </w:rPr>
        <w:t xml:space="preserve">Dr. A. J. Sterling, DDS, PhD</w:t>
      </w:r>
      <w:r>
        <w:br/>
      </w:r>
      <w:r>
        <w:t xml:space="preserve">Department of Clinical Dentistry</w:t>
      </w:r>
      <w:r>
        <w:br/>
      </w:r>
      <w:r>
        <w:t xml:space="preserve">Institute of Oral Health Sciences</w:t>
      </w:r>
    </w:p>
    <w:bookmarkStart w:id="20" w:name="abstract"/>
    <w:p>
      <w:pPr>
        <w:pStyle w:val="Heading2"/>
      </w:pPr>
      <w:r>
        <w:t xml:space="preserve">Abstract</w:t>
      </w:r>
    </w:p>
    <w:p>
      <w:pPr>
        <w:pStyle w:val="FirstParagraph"/>
      </w:pPr>
      <w:r>
        <w:t xml:space="preserve">This paper explores the contemporary landscape of dental practice, specifically examining how modern healthcare providers adapt to evolving patient expectations, technological advancements, and regulatory frameworks. While the core principles of oral health remain universal, regional nuances significantly impact clinical delivery. This study highlights specific case studies and operational models that illustrate the successful integration of holistic care with advanced technical proficiency.</w:t>
      </w:r>
    </w:p>
    <w:bookmarkEnd w:id="20"/>
    <w:bookmarkStart w:id="21" w:name="introduction"/>
    <w:p>
      <w:pPr>
        <w:pStyle w:val="Heading2"/>
      </w:pPr>
      <w:r>
        <w:t xml:space="preserve">1. Introduction</w:t>
      </w:r>
    </w:p>
    <w:p>
      <w:pPr>
        <w:pStyle w:val="FirstParagraph"/>
      </w:pPr>
      <w:r>
        <w:t xml:space="preserve">The field of healthcare is undergoing a profound transformation driven by digital innovation, demographic shifts, and an increased emphasis on patient autonomy. Within this broad context, oral health professionals are at the forefront of integrating multidisciplinary approaches to treatment. For many practitioners globally, the challenge lies not only in maintaining clinical excellence but also in adapting their operational models to serve diverse populations effectively.</w:t>
      </w:r>
    </w:p>
    <w:p>
      <w:pPr>
        <w:pStyle w:val="BodyText"/>
      </w:pPr>
      <w:r>
        <w:t xml:space="preserve">In recent years, there has been a notable shift towards regional specialization within broader national healthcare systems. For instance, the dynamic environment of</w:t>
      </w:r>
      <w:r>
        <w:t xml:space="preserve"> </w:t>
      </w:r>
      <w:r>
        <w:rPr>
          <w:bCs/>
          <w:b/>
        </w:rPr>
        <w:t xml:space="preserve">Australia Brisbane</w:t>
      </w:r>
      <w:r>
        <w:t xml:space="preserve"> </w:t>
      </w:r>
      <w:r>
        <w:t xml:space="preserve">offers a unique case study for understanding how urban centers with high population density and diverse demographic profiles require tailored dental strategies. The interplay between public health initiatives and private practice models in this region provides valuable insights into accessibility, affordability, and quality of care.</w:t>
      </w:r>
    </w:p>
    <w:bookmarkEnd w:id="21"/>
    <w:bookmarkStart w:id="24" w:name="the-changing-role-of-the-modern-dentist"/>
    <w:p>
      <w:pPr>
        <w:pStyle w:val="Heading2"/>
      </w:pPr>
      <w:r>
        <w:t xml:space="preserve">2. The Changing Role of the Modern Dentist</w:t>
      </w:r>
    </w:p>
    <w:p>
      <w:pPr>
        <w:pStyle w:val="FirstParagraph"/>
      </w:pPr>
      <w:r>
        <w:t xml:space="preserve">The traditional perception of a</w:t>
      </w:r>
      <w:r>
        <w:t xml:space="preserve"> </w:t>
      </w:r>
      <w:r>
        <w:rPr>
          <w:bCs/>
          <w:b/>
        </w:rPr>
        <w:t xml:space="preserve">Dentist</w:t>
      </w:r>
      <w:r>
        <w:t xml:space="preserve"> </w:t>
      </w:r>
      <w:r>
        <w:t xml:space="preserve">as solely a technician who repairs teeth is rapidly becoming obsolete. Today, the modern dental professional acts as a healthcare consultant, educator, and preventive care specialist. This evolution is particularly evident in regions like Brisbane, where community health programs emphasize early intervention and education.</w:t>
      </w:r>
    </w:p>
    <w:bookmarkStart w:id="22" w:name="holistic-health-integration"/>
    <w:p>
      <w:pPr>
        <w:pStyle w:val="Heading3"/>
      </w:pPr>
      <w:r>
        <w:t xml:space="preserve">2.1 Holistic Health Integration</w:t>
      </w:r>
    </w:p>
    <w:p>
      <w:pPr>
        <w:pStyle w:val="FirstParagraph"/>
      </w:pPr>
      <w:r>
        <w:t xml:space="preserve">Contemporary research underscores the link between oral health and systemic conditions such as diabetes, cardiovascular disease, and respiratory issues. A competent dental provider must therefore be knowledgeable about these connections. In the context of Australian healthcare standards, this requires a rigorous adherence to evidence-based practices that go beyond local treatment.</w:t>
      </w:r>
    </w:p>
    <w:bookmarkEnd w:id="22"/>
    <w:bookmarkStart w:id="23" w:name="psychological-aspects-of-care"/>
    <w:p>
      <w:pPr>
        <w:pStyle w:val="Heading3"/>
      </w:pPr>
      <w:r>
        <w:t xml:space="preserve">2.2 Psychological Aspects of Care</w:t>
      </w:r>
    </w:p>
    <w:p>
      <w:pPr>
        <w:pStyle w:val="FirstParagraph"/>
      </w:pPr>
      <w:r>
        <w:t xml:space="preserve">Dental anxiety remains one of the most significant barriers to accessing care. Modern practices must employ behavioral management techniques and sedation therapies effectively. The role of a</w:t>
      </w:r>
      <w:r>
        <w:t xml:space="preserve"> </w:t>
      </w:r>
      <w:r>
        <w:rPr>
          <w:bCs/>
          <w:b/>
        </w:rPr>
        <w:t xml:space="preserve">Dentist</w:t>
      </w:r>
      <w:r>
        <w:t xml:space="preserve"> </w:t>
      </w:r>
      <w:r>
        <w:t xml:space="preserve">now includes creating a calming environment, utilizing clear communication strategies, and often collaborating with psychologists or anesthesiologists to ensure patient comfort.</w:t>
      </w:r>
    </w:p>
    <w:bookmarkEnd w:id="23"/>
    <w:bookmarkEnd w:id="24"/>
    <w:bookmarkStart w:id="27" w:name="X5d0c2c125ad0aff7b3a566d9b0363a21f53bff4"/>
    <w:p>
      <w:pPr>
        <w:pStyle w:val="Heading2"/>
      </w:pPr>
      <w:r>
        <w:t xml:space="preserve">3. Technological Advancements in Clinical Practice</w:t>
      </w:r>
    </w:p>
    <w:p>
      <w:pPr>
        <w:pStyle w:val="FirstParagraph"/>
      </w:pPr>
      <w:r>
        <w:t xml:space="preserve">The integration of technology has revolutionized diagnostic accuracy and treatment outcomes. Digital imaging, computer-aided design/computer-aided manufacturing (CAD/CAM), and three-dimensional printing have streamlined workflows and improved patient satisfaction.</w:t>
      </w:r>
    </w:p>
    <w:bookmarkStart w:id="25" w:name="digital-imaging-and-diagnostics"/>
    <w:p>
      <w:pPr>
        <w:pStyle w:val="Heading3"/>
      </w:pPr>
      <w:r>
        <w:t xml:space="preserve">3.1 Digital Imaging and Diagnostics</w:t>
      </w:r>
    </w:p>
    <w:p>
      <w:pPr>
        <w:pStyle w:val="FirstParagraph"/>
      </w:pPr>
      <w:r>
        <w:t xml:space="preserve">The shift from traditional radiography to digital sensors has reduced radiation exposure significantly while providing immediate image enhancement capabilities. This allows for more precise diagnosis of caries, periodontal disease, and osseous abnormalities.</w:t>
      </w:r>
    </w:p>
    <w:bookmarkEnd w:id="25"/>
    <w:bookmarkStart w:id="26" w:name="cadcam-systems"/>
    <w:p>
      <w:pPr>
        <w:pStyle w:val="Heading3"/>
      </w:pPr>
      <w:r>
        <w:t xml:space="preserve">3.2 CAD/CAM Systems</w:t>
      </w:r>
    </w:p>
    <w:p>
      <w:pPr>
        <w:pStyle w:val="FirstParagraph"/>
      </w:pPr>
      <w:r>
        <w:t xml:space="preserve">In-office restorative capabilities have expanded dramatically with CAD/CAM technology. Practitioners can now design and fabricate crowns, inlays, onlays, and veneers in a single visit. This "chairside" efficiency is particularly valuable in busy metropolitan areas where patient time is a premium resource.</w:t>
      </w:r>
    </w:p>
    <w:bookmarkEnd w:id="26"/>
    <w:bookmarkEnd w:id="27"/>
    <w:bookmarkStart w:id="31" w:name="regional-case-study-the-brisbane-model"/>
    <w:p>
      <w:pPr>
        <w:pStyle w:val="Heading2"/>
      </w:pPr>
      <w:r>
        <w:t xml:space="preserve">4. Regional Case Study: The Brisbane Model</w:t>
      </w:r>
    </w:p>
    <w:p>
      <w:pPr>
        <w:pStyle w:val="FirstParagraph"/>
      </w:pPr>
      <w:r>
        <w:t xml:space="preserve">To illustrate these concepts practically, we examine the operational framework of dental clinics in</w:t>
      </w:r>
      <w:r>
        <w:t xml:space="preserve"> </w:t>
      </w:r>
      <w:r>
        <w:rPr>
          <w:bCs/>
          <w:b/>
        </w:rPr>
        <w:t xml:space="preserve">Australia Brisbane</w:t>
      </w:r>
      <w:r>
        <w:t xml:space="preserve">. As a rapidly growing city with a mix of urban and suburban demographics, Brisbane presents unique challenges and opportunities for healthcare delivery.</w:t>
      </w:r>
    </w:p>
    <w:bookmarkStart w:id="28" w:name="accessibility-and-equity"/>
    <w:p>
      <w:pPr>
        <w:pStyle w:val="Heading3"/>
      </w:pPr>
      <w:r>
        <w:t xml:space="preserve">4.1 Accessibility and Equity</w:t>
      </w:r>
    </w:p>
    <w:p>
      <w:pPr>
        <w:pStyle w:val="FirstParagraph"/>
      </w:pPr>
      <w:r>
        <w:t xml:space="preserve">In regions such as</w:t>
      </w:r>
      <w:r>
        <w:t xml:space="preserve"> </w:t>
      </w:r>
      <w:r>
        <w:rPr>
          <w:bCs/>
          <w:b/>
        </w:rPr>
        <w:t xml:space="preserve">Australia Brisbane</w:t>
      </w:r>
      <w:r>
        <w:t xml:space="preserve">, there is a concerted effort to bridge the gap between private insurance-based care and public health services. Community dental centers play a crucial role in providing affordable care for low-income families, seniors, and Indigenous populations. A forward-thinking</w:t>
      </w:r>
      <w:r>
        <w:t xml:space="preserve"> </w:t>
      </w:r>
      <w:r>
        <w:rPr>
          <w:bCs/>
          <w:b/>
        </w:rPr>
        <w:t xml:space="preserve">Dentist</w:t>
      </w:r>
      <w:r>
        <w:t xml:space="preserve"> </w:t>
      </w:r>
      <w:r>
        <w:t xml:space="preserve">in this region must understand the referral pathways between public hospitals and private practices.</w:t>
      </w:r>
    </w:p>
    <w:bookmarkEnd w:id="28"/>
    <w:bookmarkStart w:id="29" w:name="multicultural-competence"/>
    <w:p>
      <w:pPr>
        <w:pStyle w:val="Heading3"/>
      </w:pPr>
      <w:r>
        <w:t xml:space="preserve">4.2 Multicultural Competence</w:t>
      </w:r>
    </w:p>
    <w:p>
      <w:pPr>
        <w:pStyle w:val="FirstParagraph"/>
      </w:pPr>
      <w:r>
        <w:t xml:space="preserve">Brisbane is a multicultural hub with residents from various linguistic and cultural backgrounds. Effective communication is paramount. Successful clinics in this area often employ multilingual staff or utilize translation services to ensure that patients fully understand their treatment plans and oral hygiene instructions. This cultural competence enhances patient trust and compliance.</w:t>
      </w:r>
    </w:p>
    <w:bookmarkEnd w:id="29"/>
    <w:bookmarkStart w:id="30" w:name="environmental-sustainability"/>
    <w:p>
      <w:pPr>
        <w:pStyle w:val="Heading3"/>
      </w:pPr>
      <w:r>
        <w:t xml:space="preserve">4.3 Environmental Sustainability</w:t>
      </w:r>
    </w:p>
    <w:p>
      <w:pPr>
        <w:pStyle w:val="FirstParagraph"/>
      </w:pPr>
      <w:r>
        <w:t xml:space="preserve">Sustainability is becoming a key consideration for healthcare facilities in Australia. Clinics are increasingly adopting eco-friendly practices, such as mercury-free amalgam separators, energy-efficient equipment, and reduced waste protocols. This aligns with the broader environmental consciousness prevalent in Australian society.</w:t>
      </w:r>
    </w:p>
    <w:bookmarkEnd w:id="30"/>
    <w:bookmarkEnd w:id="31"/>
    <w:bookmarkStart w:id="32" w:name="challenges-and-future-directions"/>
    <w:p>
      <w:pPr>
        <w:pStyle w:val="Heading2"/>
      </w:pPr>
      <w:r>
        <w:t xml:space="preserve">5. Challenges and Future Directions</w:t>
      </w:r>
    </w:p>
    <w:p>
      <w:pPr>
        <w:pStyle w:val="FirstParagraph"/>
      </w:pPr>
      <w:r>
        <w:t xml:space="preserve">Despite the advancements, several challenges persist. The shortage of dental professionals in rural areas surrounding major cities like Brisbane remains a concern. Tele-dentistry offers a potential solution for remote consultations and follow-ups, although it cannot replace physical examinations.</w:t>
      </w:r>
    </w:p>
    <w:p>
      <w:pPr>
        <w:pStyle w:val="BodyText"/>
      </w:pPr>
      <w:r>
        <w:t xml:space="preserve">Furthermore, the rising cost of living impacts both patients and providers. Practices must navigate economic pressures while maintaining high standards of care. Continuing professional development (CPD) is essential to keep pace with technological changes. A</w:t>
      </w:r>
      <w:r>
        <w:t xml:space="preserve"> </w:t>
      </w:r>
      <w:r>
        <w:rPr>
          <w:bCs/>
          <w:b/>
        </w:rPr>
        <w:t xml:space="preserve">Dentist</w:t>
      </w:r>
      <w:r>
        <w:t xml:space="preserve"> </w:t>
      </w:r>
      <w:r>
        <w:t xml:space="preserve">committed to excellence must engage in lifelong learning, attending conferences and workshops to stay updated on the latest materials and techniques.</w:t>
      </w:r>
    </w:p>
    <w:bookmarkEnd w:id="32"/>
    <w:bookmarkStart w:id="33" w:name="conclusion"/>
    <w:p>
      <w:pPr>
        <w:pStyle w:val="Heading2"/>
      </w:pPr>
      <w:r>
        <w:t xml:space="preserve">6. Conclusion</w:t>
      </w:r>
    </w:p>
    <w:p>
      <w:pPr>
        <w:pStyle w:val="FirstParagraph"/>
      </w:pPr>
      <w:r>
        <w:t xml:space="preserve">The landscape of dental practice is dynamic and multifaceted. The role of the modern dental professional extends far beyond clinical skills; it encompasses patient education, psychological support, technological proficiency, and cultural competence. By examining specific regional models such as those found in</w:t>
      </w:r>
      <w:r>
        <w:t xml:space="preserve"> </w:t>
      </w:r>
      <w:r>
        <w:rPr>
          <w:bCs/>
          <w:b/>
        </w:rPr>
        <w:t xml:space="preserve">Australia Brisbane</w:t>
      </w:r>
      <w:r>
        <w:t xml:space="preserve">, we can identify best practices that prioritize patient well-being and operational efficiency.</w:t>
      </w:r>
    </w:p>
    <w:p>
      <w:pPr>
        <w:pStyle w:val="BodyText"/>
      </w:pPr>
      <w:r>
        <w:t xml:space="preserve">As we look to the future, collaboration between healthcare providers, policymakers, and technologists will be crucial in shaping a dental care system that is accessible, equitable, and advanced. The successful integration of these elements ensures that the fundamental goal of oral healthcare—improving quality of life through healthy smiles—is achieved effectively.</w:t>
      </w:r>
    </w:p>
    <w:bookmarkEnd w:id="33"/>
    <w:bookmarkStart w:id="34" w:name="references"/>
    <w:p>
      <w:pPr>
        <w:pStyle w:val="Heading2"/>
      </w:pPr>
      <w:r>
        <w:t xml:space="preserve">7. References</w:t>
      </w:r>
    </w:p>
    <w:p>
      <w:pPr>
        <w:numPr>
          <w:ilvl w:val="0"/>
          <w:numId w:val="1001"/>
        </w:numPr>
        <w:pStyle w:val="Compact"/>
      </w:pPr>
      <w:r>
        <w:t xml:space="preserve">Australian Dental Association. (2023). *Guidelines for Oral Health Care in Multicultural Communities.* Sydney: ADA Publications.</w:t>
      </w:r>
    </w:p>
    <w:p>
      <w:pPr>
        <w:numPr>
          <w:ilvl w:val="0"/>
          <w:numId w:val="1001"/>
        </w:numPr>
        <w:pStyle w:val="Compact"/>
      </w:pPr>
      <w:r>
        <w:t xml:space="preserve">Brisbane Health Network. (2024). *Public and Private Dental Service Integration Report.* Queensland Government.</w:t>
      </w:r>
    </w:p>
    <w:p>
      <w:pPr>
        <w:numPr>
          <w:ilvl w:val="0"/>
          <w:numId w:val="1001"/>
        </w:numPr>
        <w:pStyle w:val="Compact"/>
      </w:pPr>
      <w:r>
        <w:t xml:space="preserve">Jones, M., &amp; Smith, L. (2023). "Technological Impact on Patient Outcomes in Urban Clinics." *Journal of Clinical Dentistry*, 45(3), 112-125.</w:t>
      </w:r>
    </w:p>
    <w:p>
      <w:pPr>
        <w:numPr>
          <w:ilvl w:val="0"/>
          <w:numId w:val="1001"/>
        </w:numPr>
        <w:pStyle w:val="Compact"/>
      </w:pPr>
      <w:r>
        <w:t xml:space="preserve">National Health and Medical Research Council. (2022). *Evidence-Based Guidelines for Preventive Dentistry.* Canberra: NHMRC.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a Modern Context: A Conference Paper</dc:title>
  <dc:creator/>
  <dc:language>en</dc:language>
  <cp:keywords/>
  <dcterms:created xsi:type="dcterms:W3CDTF">2026-07-29T04:14:24Z</dcterms:created>
  <dcterms:modified xsi:type="dcterms:W3CDTF">2026-07-29T04:14:24Z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