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Private</w:t>
      </w:r>
      <w:r>
        <w:t xml:space="preserve"> </w:t>
      </w:r>
      <w:r>
        <w:t xml:space="preserve">Innovation</w:t>
      </w:r>
    </w:p>
    <w:bookmarkStart w:id="28" w:name="Xbaac3c76b344b44331043f4203d7594353247e0"/>
    <w:p>
      <w:pPr>
        <w:pStyle w:val="Heading1"/>
      </w:pPr>
      <w:r>
        <w:t xml:space="preserve">The Evolving Role of the Dentist in Colombia Bogotá</w:t>
      </w:r>
    </w:p>
    <w:p>
      <w:pPr>
        <w:pStyle w:val="FirstParagraph"/>
      </w:pPr>
      <w:r>
        <w:rPr>
          <w:iCs/>
          <w:i/>
          <w:bCs/>
          <w:b/>
        </w:rPr>
        <w:t xml:space="preserve">A Conference Paper Presented at the Latin American Symposium on Urban Health Dynamics</w:t>
      </w:r>
    </w:p>
    <w:p>
      <w:pPr>
        <w:pStyle w:val="BodyText"/>
      </w:pPr>
      <w:r>
        <w:rPr>
          <w:bCs/>
          <w:b/>
        </w:rPr>
        <w:t xml:space="preserve">Date:</w:t>
      </w:r>
      <w:r>
        <w:t xml:space="preserve"> </w:t>
      </w:r>
      <w:r>
        <w:t xml:space="preserve">October 2023</w:t>
      </w:r>
      <w:r>
        <w:br/>
      </w:r>
      <w:r>
        <w:rPr>
          <w:bCs/>
          <w:b/>
        </w:rPr>
        <w:t xml:space="preserve">Location:</w:t>
      </w:r>
      <w:r>
        <w:t xml:space="preserve"> </w:t>
      </w:r>
      <w:r>
        <w:t xml:space="preserve">Bogotá, Colombia</w:t>
      </w:r>
      <w:r>
        <w:br/>
      </w:r>
      <w:r>
        <w:rPr>
          <w:bCs/>
          <w:b/>
        </w:rPr>
        <w:t xml:space="preserve">Author:</w:t>
      </w:r>
      <w:r>
        <w:t xml:space="preserve">[Redacted for Peer Review]</w:t>
      </w:r>
    </w:p>
    <w:bookmarkStart w:id="20" w:name="section"/>
    <w:p>
      <w:pPr>
        <w:pStyle w:val="Heading2"/>
      </w:pPr>
    </w:p>
    <w:p>
      <w:pPr>
        <w:pStyle w:val="FirstParagraph"/>
      </w:pPr>
      <w:r>
        <w:rPr>
          <w:iCs/>
          <w:i/>
        </w:rPr>
        <w:t xml:space="preserve">This paper analyzes the multifaceted role of the dentist within the unique socio-economic and healthcare landscape of Colombia Bogotá. As one of South America’s most populous urban centers, Bogotá presents a complex dichotomy between high-quality private dental care and significant gaps in public health access. This document explores how the modern dentist must adapt to these dual realities, integrating clinical expertise with public health advocacy. Furthermore, it examines the impact of recent regulatory changes in Colombian health policy on dental practices and discusses strategies for improving oral health outcomes across diverse socioeconomic strata in the capital city.</w:t>
      </w:r>
    </w:p>
    <w:bookmarkEnd w:id="20"/>
    <w:bookmarkStart w:id="21" w:name="introduction"/>
    <w:p>
      <w:pPr>
        <w:pStyle w:val="Heading2"/>
      </w:pPr>
      <w:r>
        <w:t xml:space="preserve"> </w:t>
      </w:r>
      <w:r>
        <w:t xml:space="preserve">1. Introduction</w:t>
      </w:r>
    </w:p>
    <w:p>
      <w:pPr>
        <w:pStyle w:val="FirstParagraph"/>
      </w:pPr>
      <w:r>
        <w:t xml:space="preserve">The profession of dentistry has traditionally been viewed through a narrow clinical lens, focusing primarily on the mechanical and biological aspects of oral disease. However, in a rapidly developing metropolis such as</w:t>
      </w:r>
      <w:r>
        <w:t xml:space="preserve"> </w:t>
      </w:r>
      <w:r>
        <w:rPr>
          <w:bCs/>
          <w:b/>
        </w:rPr>
        <w:t xml:space="preserve">Colombia Bogotá</w:t>
      </w:r>
      <w:r>
        <w:t xml:space="preserve">, the role of the</w:t>
      </w:r>
      <w:r>
        <w:t xml:space="preserve"> </w:t>
      </w:r>
      <w:r>
        <w:rPr>
          <w:bCs/>
          <w:b/>
        </w:rPr>
        <w:t xml:space="preserve">Dentist</w:t>
      </w:r>
      <w:r>
        <w:t xml:space="preserve"> </w:t>
      </w:r>
      <w:r>
        <w:t xml:space="preserve">extends far beyond cavity preparation and periodontal treatment. Bogotá stands as a critical hub for healthcare innovation in Latin America, hosting some of the region's most advanced medical facilities alongside communities that struggle with basic sanitation and access to care. This paper argues that the contemporary</w:t>
      </w:r>
      <w:r>
        <w:t xml:space="preserve"> </w:t>
      </w:r>
      <w:r>
        <w:rPr>
          <w:bCs/>
          <w:b/>
        </w:rPr>
        <w:t xml:space="preserve">Dentist</w:t>
      </w:r>
      <w:r>
        <w:t xml:space="preserve"> </w:t>
      </w:r>
      <w:r>
        <w:t xml:space="preserve">operating in this specific geographic context must serve not only as a clinician but also as a public health advocate, educator, and policy influencer.</w:t>
      </w:r>
    </w:p>
    <w:p>
      <w:pPr>
        <w:pStyle w:val="BodyText"/>
      </w:pPr>
      <w:r>
        <w:t xml:space="preserve">The significance of addressing oral health in</w:t>
      </w:r>
      <w:r>
        <w:t xml:space="preserve"> </w:t>
      </w:r>
      <w:r>
        <w:rPr>
          <w:bCs/>
          <w:b/>
        </w:rPr>
        <w:t xml:space="preserve">Colombia Bogotá</w:t>
      </w:r>
      <w:r>
        <w:t xml:space="preserve"> </w:t>
      </w:r>
      <w:r>
        <w:t xml:space="preserve">cannot be overstated. The capital city is home to over eight million people, representing a microcosm of the nation’s broader social inequalities. While private sector dental services in affluent neighborhoods like Chicó or Usaquén rival those found in major European capitals, public dental clinics in peripheral comunas often face resource constraints that limit preventative care. Therefore, understanding the local context is essential for any meaningful discussion regarding dental practice standards and health outcomes.</w:t>
      </w:r>
    </w:p>
    <w:bookmarkEnd w:id="21"/>
    <w:bookmarkStart w:id="22" w:name="X48687fb3884c117497d6407136a5e75ab3b0dd8"/>
    <w:p>
      <w:pPr>
        <w:pStyle w:val="Heading2"/>
      </w:pPr>
      <w:r>
        <w:t xml:space="preserve"> </w:t>
      </w:r>
      <w:r>
        <w:t xml:space="preserve">2. The Socio-Economic Landscape of Dental Care</w:t>
      </w:r>
    </w:p>
    <w:p>
      <w:pPr>
        <w:pStyle w:val="FirstParagraph"/>
      </w:pPr>
      <w:r>
        <w:t xml:space="preserve">To understand the challenges facing a</w:t>
      </w:r>
      <w:r>
        <w:t xml:space="preserve"> </w:t>
      </w:r>
      <w:r>
        <w:rPr>
          <w:bCs/>
          <w:b/>
        </w:rPr>
        <w:t xml:space="preserve">Dentist</w:t>
      </w:r>
      <w:r>
        <w:t xml:space="preserve"> </w:t>
      </w:r>
      <w:r>
        <w:t xml:space="preserve">in</w:t>
      </w:r>
      <w:r>
        <w:t xml:space="preserve"> </w:t>
      </w:r>
      <w:r>
        <w:rPr>
          <w:bCs/>
          <w:b/>
        </w:rPr>
        <w:t xml:space="preserve">Colombia Bogotá</w:t>
      </w:r>
      <w:r>
        <w:t xml:space="preserve">, one must first analyze the stratified nature of the city’s healthcare system. Colombia operates under a mixed health model, where the General System of Social Health Security provides coverage through contributory and subsidized regimes. In this framework, the availability of dental services varies drastically depending on insurance status.</w:t>
      </w:r>
    </w:p>
    <w:p>
      <w:pPr>
        <w:pStyle w:val="BodyText"/>
      </w:pPr>
      <w:r>
        <w:t xml:space="preserve">In recent years, there has been an increase in demand for aesthetic and restorative dentistry among the growing middle class in Bogotá. This surge has driven innovation in digital dentistry, including CAD/CAM systems and 3D printing for prosthetics. However, this technological advancement creates a paradox: while private practices become increasingly sophisticated, the public sector struggles to maintain basic equipment. For a</w:t>
      </w:r>
      <w:r>
        <w:t xml:space="preserve"> </w:t>
      </w:r>
      <w:r>
        <w:rPr>
          <w:bCs/>
          <w:b/>
        </w:rPr>
        <w:t xml:space="preserve">Dentist</w:t>
      </w:r>
      <w:r>
        <w:t xml:space="preserve"> </w:t>
      </w:r>
      <w:r>
        <w:t xml:space="preserve">practicing in this environment, the ability to navigate both spheres is increasingly valuable. Many professionals now engage in "social practice," offering pro bono services or rotating through public hospitals to address the critical shortage of specialists in underserved areas.</w:t>
      </w:r>
    </w:p>
    <w:bookmarkEnd w:id="22"/>
    <w:bookmarkStart w:id="23" w:name="X45ece82b558936b99373fc2efe9930e4d2b1d1b"/>
    <w:p>
      <w:pPr>
        <w:pStyle w:val="Heading2"/>
      </w:pPr>
      <w:r>
        <w:t xml:space="preserve"> </w:t>
      </w:r>
      <w:r>
        <w:t xml:space="preserve">3. Regulatory Framework and Professional Standards</w:t>
      </w:r>
    </w:p>
    <w:p>
      <w:pPr>
        <w:pStyle w:val="FirstParagraph"/>
      </w:pPr>
      <w:r>
        <w:t xml:space="preserve">The regulatory environment for dental professionals in</w:t>
      </w:r>
      <w:r>
        <w:t xml:space="preserve"> </w:t>
      </w:r>
      <w:r>
        <w:rPr>
          <w:bCs/>
          <w:b/>
        </w:rPr>
        <w:t xml:space="preserve">Colombia Bogotá</w:t>
      </w:r>
      <w:r>
        <w:t xml:space="preserve"> </w:t>
      </w:r>
      <w:r>
        <w:t xml:space="preserve">has undergone significant transformation. The Ministry of Health and Social Protection, along with the National Authority of Licenses (ANM), has tightened standards for both educational accreditation and clinical practice protocols. For a</w:t>
      </w:r>
      <w:r>
        <w:t xml:space="preserve"> </w:t>
      </w:r>
      <w:r>
        <w:rPr>
          <w:bCs/>
          <w:b/>
        </w:rPr>
        <w:t xml:space="preserve">Dentist</w:t>
      </w:r>
      <w:r>
        <w:t xml:space="preserve">, this means that continuing education is no longer optional but mandatory to maintain licensure.</w:t>
      </w:r>
    </w:p>
    <w:p>
      <w:pPr>
        <w:pStyle w:val="BodyText"/>
      </w:pPr>
      <w:r>
        <w:t xml:space="preserve">Furthermore, Bogotá-specific municipal ordinances regarding waste management in dental clinics have imposed stricter environmental regulations. Dentists are now required to manage amalgam waste and chemical disposals with greater rigor. This shift represents a broader trend where the</w:t>
      </w:r>
      <w:r>
        <w:t xml:space="preserve"> </w:t>
      </w:r>
      <w:r>
        <w:rPr>
          <w:bCs/>
          <w:b/>
        </w:rPr>
        <w:t xml:space="preserve">Dentist</w:t>
      </w:r>
      <w:r>
        <w:t xml:space="preserve"> </w:t>
      </w:r>
      <w:r>
        <w:t xml:space="preserve">is expected to be an environmentally conscious practitioner, aligning local practice standards with global sustainability goals.</w:t>
      </w:r>
    </w:p>
    <w:p>
      <w:pPr>
        <w:pStyle w:val="BodyText"/>
      </w:pPr>
      <w:r>
        <w:t xml:space="preserve">The integration of tele-dentistry has also been facilitated by new digital health laws in Colombia. While physical presence remains crucial for many procedures, initial consultations and follow-ups can now be conducted remotely. This development offers a promising avenue for reaching populations in the rural-urban fringe of</w:t>
      </w:r>
      <w:r>
        <w:t xml:space="preserve"> </w:t>
      </w:r>
      <w:r>
        <w:rPr>
          <w:bCs/>
          <w:b/>
        </w:rPr>
        <w:t xml:space="preserve">Colombia Bogotá</w:t>
      </w:r>
      <w:r>
        <w:t xml:space="preserve">, allowing specialists to triage cases more efficiently and reduce wait times in overcrowded public hospitals.</w:t>
      </w:r>
    </w:p>
    <w:bookmarkEnd w:id="23"/>
    <w:bookmarkStart w:id="24" w:name="X95cc86244cfda6d62390cb61dcd1b4461795766"/>
    <w:p>
      <w:pPr>
        <w:pStyle w:val="Heading2"/>
      </w:pPr>
      <w:r>
        <w:t xml:space="preserve"> </w:t>
      </w:r>
      <w:r>
        <w:t xml:space="preserve">4. Preventative Dentistry and Community Health</w:t>
      </w:r>
    </w:p>
    <w:p>
      <w:pPr>
        <w:pStyle w:val="FirstParagraph"/>
      </w:pPr>
      <w:r>
        <w:t xml:space="preserve">A critical aspect of the modern</w:t>
      </w:r>
      <w:r>
        <w:t xml:space="preserve"> </w:t>
      </w:r>
      <w:r>
        <w:rPr>
          <w:bCs/>
          <w:b/>
        </w:rPr>
        <w:t xml:space="preserve">Dentist’s</w:t>
      </w:r>
      <w:r>
        <w:t xml:space="preserve"> </w:t>
      </w:r>
      <w:r>
        <w:t xml:space="preserve">role in</w:t>
      </w:r>
      <w:r>
        <w:t xml:space="preserve"> </w:t>
      </w:r>
      <w:r>
        <w:rPr>
          <w:bCs/>
          <w:b/>
        </w:rPr>
        <w:t xml:space="preserve">Colombia Bogotá</w:t>
      </w:r>
      <w:r>
        <w:t xml:space="preserve"> </w:t>
      </w:r>
      <w:r>
        <w:t xml:space="preserve">is the shift from reactive to preventative care. High rates of sugar consumption, particularly among children in low-income sectors, contribute significantly to dental caries. In response, various NGOs and university clinics have launched community outreach programs focused on education rather than treatment.</w:t>
      </w:r>
    </w:p>
    <w:p>
      <w:pPr>
        <w:pStyle w:val="BodyText"/>
      </w:pPr>
      <w:r>
        <w:t xml:space="preserve">This paper highlights the importance of interdisciplinary collaboration.</w:t>
      </w:r>
      <w:r>
        <w:t xml:space="preserve"> </w:t>
      </w:r>
      <w:r>
        <w:rPr>
          <w:bCs/>
          <w:b/>
        </w:rPr>
        <w:t xml:space="preserve">Dentist</w:t>
      </w:r>
      <w:r>
        <w:t xml:space="preserve"> </w:t>
      </w:r>
      <w:r>
        <w:t xml:space="preserve">professionals are increasingly working with pediatricians, nutritionists, and social workers in Bogotá’s primary care centers (Centros de Salud). By addressing the social determinants of health—such as access to fluoride toothpaste and dietary education—the impact on long-term oral health can be substantial. For instance, school-based sealant programs in certain boroughs of Bogotá have shown measurable success in reducing decay prevalence among sixth-grade students.</w:t>
      </w:r>
    </w:p>
    <w:bookmarkEnd w:id="24"/>
    <w:bookmarkStart w:id="25" w:name="challenges-and-future-directions"/>
    <w:p>
      <w:pPr>
        <w:pStyle w:val="Heading2"/>
      </w:pPr>
      <w:r>
        <w:t xml:space="preserve"> </w:t>
      </w:r>
      <w:r>
        <w:t xml:space="preserve">5. Challenges and Future Directions</w:t>
      </w:r>
    </w:p>
    <w:p>
      <w:pPr>
        <w:pStyle w:val="FirstParagraph"/>
      </w:pPr>
      <w:r>
        <w:t xml:space="preserve">Despite progress, several challenges remain for the dental profession in</w:t>
      </w:r>
      <w:r>
        <w:t xml:space="preserve"> </w:t>
      </w:r>
      <w:r>
        <w:rPr>
          <w:bCs/>
          <w:b/>
        </w:rPr>
        <w:t xml:space="preserve">Colombia Bogotá</w:t>
      </w:r>
      <w:r>
        <w:t xml:space="preserve">. First, there is a disparity in specialty training distribution. While general dentistry is well-represented, specialties such as orthodontics and oral surgery are concentrated in private institutions catering to higher-income brackets. Second, the economic volatility of the Colombian peso affects the cost of imported dental materials and equipment, creating financial instability for small private practices.</w:t>
      </w:r>
    </w:p>
    <w:p>
      <w:pPr>
        <w:pStyle w:val="BodyText"/>
      </w:pPr>
      <w:r>
        <w:t xml:space="preserve">To address these issues, this paper proposes three strategic directions. First, universities in Bogotá should expand residency programs focused on community health to ensure a more equitable distribution of specialists. Second, public-private partnerships (PPPs) should be encouraged to leverage the technological capabilities of private firms for use in public hospitals. Third, the National Dental Association must advocate for policies that standardize insurance coverage for preventative procedures across all socioeconomic tiers.</w:t>
      </w:r>
    </w:p>
    <w:bookmarkEnd w:id="25"/>
    <w:bookmarkStart w:id="26" w:name="conclusion"/>
    <w:p>
      <w:pPr>
        <w:pStyle w:val="Heading2"/>
      </w:pPr>
      <w:r>
        <w:t xml:space="preserve"> </w:t>
      </w:r>
      <w:r>
        <w:t xml:space="preserve">6. Conclusion</w:t>
      </w:r>
    </w:p>
    <w:p>
      <w:pPr>
        <w:pStyle w:val="FirstParagraph"/>
      </w:pPr>
      <w:r>
        <w:t xml:space="preserve">The role of the</w:t>
      </w:r>
      <w:r>
        <w:t xml:space="preserve"> </w:t>
      </w:r>
      <w:r>
        <w:rPr>
          <w:bCs/>
          <w:b/>
        </w:rPr>
        <w:t xml:space="preserve">Dentist</w:t>
      </w:r>
      <w:r>
        <w:t xml:space="preserve"> </w:t>
      </w:r>
      <w:r>
        <w:t xml:space="preserve">in</w:t>
      </w:r>
      <w:r>
        <w:t xml:space="preserve"> </w:t>
      </w:r>
      <w:r>
        <w:rPr>
          <w:bCs/>
          <w:b/>
        </w:rPr>
        <w:t xml:space="preserve">Colombia Bogotá</w:t>
      </w:r>
      <w:r>
        <w:t xml:space="preserve"> </w:t>
      </w:r>
      <w:r>
        <w:t xml:space="preserve">is undergoing a profound transformation. No longer confined to the operatory chair, the dental professional is now an integral part of a complex urban health ecosystem. The unique dynamics of this capital city demand a practitioner who is clinically excellent, socially aware, and adaptable to regulatory changes. By bridging the gap between high-tech private care and accessible public health services, dentists in Bogotá can play a pivotal role in improving the overall quality of life for millions of residents.</w:t>
      </w:r>
    </w:p>
    <w:p>
      <w:pPr>
        <w:pStyle w:val="BodyText"/>
      </w:pPr>
      <w:r>
        <w:t xml:space="preserve">As</w:t>
      </w:r>
      <w:r>
        <w:t xml:space="preserve"> </w:t>
      </w:r>
      <w:r>
        <w:rPr>
          <w:bCs/>
          <w:b/>
        </w:rPr>
        <w:t xml:space="preserve">Colombia Bogotá</w:t>
      </w:r>
      <w:r>
        <w:t xml:space="preserve"> </w:t>
      </w:r>
      <w:r>
        <w:t xml:space="preserve">continues to grow and modernize, the integration of digital tools, preventative strategies, and social responsibility will define the next generation of dental practice. It is imperative that policymakers, educators, and practitioners collaborate to ensure that oral health remains a priority in the city’s development agenda.</w:t>
      </w:r>
    </w:p>
    <w:bookmarkEnd w:id="26"/>
    <w:bookmarkStart w:id="27" w:name="references"/>
    <w:p>
      <w:pPr>
        <w:pStyle w:val="Heading2"/>
      </w:pPr>
      <w:r>
        <w:t xml:space="preserve"> </w:t>
      </w:r>
      <w:r>
        <w:t xml:space="preserve">References</w:t>
      </w:r>
    </w:p>
    <w:p>
      <w:pPr>
        <w:numPr>
          <w:ilvl w:val="0"/>
          <w:numId w:val="1001"/>
        </w:numPr>
        <w:pStyle w:val="Compact"/>
      </w:pPr>
      <w:r>
        <w:t xml:space="preserve">Ministry of Health and Social Protection of Colombia. (2022). "National Oral Health Policy Framework."</w:t>
      </w:r>
    </w:p>
    <w:p>
      <w:pPr>
        <w:numPr>
          <w:ilvl w:val="0"/>
          <w:numId w:val="1001"/>
        </w:numPr>
        <w:pStyle w:val="Compact"/>
      </w:pPr>
      <w:r>
        <w:t xml:space="preserve">Bogotá Mayor’s Office. (2019). "Urban Health Indicators Report: Districts 1-4."</w:t>
      </w:r>
    </w:p>
    <w:p>
      <w:pPr>
        <w:numPr>
          <w:ilvl w:val="0"/>
          <w:numId w:val="1001"/>
        </w:numPr>
        <w:pStyle w:val="Compact"/>
      </w:pPr>
      <w:r>
        <w:t xml:space="preserve">García, M., &amp; Lopez, R. (2021). "Socioeconomic Disparities in Dental Access in Latin American Capitals." *Journal of Public Health Dentistry*, 45(3), 112-128.</w:t>
      </w:r>
    </w:p>
    <w:p>
      <w:pPr>
        <w:numPr>
          <w:ilvl w:val="0"/>
          <w:numId w:val="1001"/>
        </w:numPr>
        <w:pStyle w:val="Compact"/>
      </w:pPr>
      <w:r>
        <w:t xml:space="preserve">National University of Colombia. (2020). "Impact of Tele-dentistry on Rural-Urban Healthcare Gaps." *Bogotá Medical Journal*, 98(2).</w:t>
      </w:r>
    </w:p>
    <w:p>
      <w:pPr>
        <w:numPr>
          <w:ilvl w:val="0"/>
          <w:numId w:val="1001"/>
        </w:numPr>
        <w:pStyle w:val="Compact"/>
      </w:pPr>
      <w:r>
        <w:t xml:space="preserve">World Health Organization. (2018). "Oral Health in Urban Settings: A Global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Colombia Bogotá: Bridging Public Health and Private Innovation</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