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8" w:name="X9453686b0e29087cffc693f250497599d29d254"/>
    <w:p>
      <w:pPr>
        <w:pStyle w:val="Heading1"/>
      </w:pPr>
      <w:r>
        <w:t xml:space="preserve">The Evolving Role of the Dentist in New Zealand Auckland: A Comprehensive Conference Paper</w:t>
      </w:r>
    </w:p>
    <w:p>
      <w:pPr>
        <w:pStyle w:val="FirstParagraph"/>
      </w:pPr>
      <w:r>
        <w:rPr>
          <w:bCs/>
          <w:b/>
        </w:rPr>
        <w:t xml:space="preserve">Author:</w:t>
      </w:r>
      <w:r>
        <w:t xml:space="preserve">[Redacted for Anonymous Review]</w:t>
      </w:r>
      <w:r>
        <w:br/>
      </w:r>
      <w:r>
        <w:rPr>
          <w:bCs/>
          <w:b/>
        </w:rPr>
        <w:t xml:space="preserve">Affiliation:</w:t>
      </w:r>
      <w:r>
        <w:t xml:space="preserve">Institute of Oral Health Research, Auckland University</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examines the multifaceted role of the dentist within the specific socio-economic and cultural context of New Zealand Auckland. As a rapidly growing metropolitan hub with significant demographic diversity, Auckland presents unique challenges and opportunities for oral health professionals. This study analyzes how the contemporary Dentist in New Zealand Auckland is shifting from a purely restorative practitioner to a holistic healthcare provider who must navigate public funding limitations, indigenous health disparities (Māori and Pasifika), and an increasingly complex private dental market. The findings suggest that effective patient outcomes in this region require enhanced interdisciplinary collaboration, culturally responsive care models, and proactive engagement with public health initiatives.</w:t>
      </w:r>
    </w:p>
    <w:p>
      <w:pPr>
        <w:pStyle w:val="BodyText"/>
      </w:pPr>
      <w:r>
        <w:rPr>
          <w:bCs/>
          <w:b/>
        </w:rPr>
        <w:t xml:space="preserve">Keywords:</w:t>
      </w:r>
      <w:r>
        <w:t xml:space="preserve">Dentist, New Zealand Auckland, Oral Health Equity, Public vs. Private Care, Māori Health Paradigms</w:t>
      </w:r>
    </w:p>
    <w:bookmarkEnd w:id="20"/>
    <w:bookmarkStart w:id="21" w:name="introduction"/>
    <w:p>
      <w:pPr>
        <w:pStyle w:val="Heading2"/>
      </w:pPr>
      <w:r>
        <w:t xml:space="preserve">1. Introduction</w:t>
      </w:r>
    </w:p>
    <w:p>
      <w:pPr>
        <w:pStyle w:val="FirstParagraph"/>
      </w:pPr>
      <w:r>
        <w:t xml:space="preserve">The landscape of dental healthcare is undergoing a profound transformation globally, but the nuances of this shift are particularly pronounced in urban centers with high population density and diverse cultural backgrounds. In</w:t>
      </w:r>
      <w:r>
        <w:t xml:space="preserve"> </w:t>
      </w:r>
      <w:r>
        <w:rPr>
          <w:bCs/>
          <w:b/>
        </w:rPr>
        <w:t xml:space="preserve">New Zealand Auckland</w:t>
      </w:r>
      <w:r>
        <w:t xml:space="preserve">, the capital's largest city by population, the demand for oral health services has surged due to demographic expansion and an aging population. For any professional identifying as a</w:t>
      </w:r>
      <w:r>
        <w:t xml:space="preserve"> </w:t>
      </w:r>
      <w:r>
        <w:rPr>
          <w:bCs/>
          <w:b/>
        </w:rPr>
        <w:t xml:space="preserve">Dentist</w:t>
      </w:r>
      <w:r>
        <w:t xml:space="preserve"> </w:t>
      </w:r>
      <w:r>
        <w:t xml:space="preserve">operating within this jurisdiction, understanding the local context is not merely advantageous; it is imperative for clinical efficacy and ethical practice.</w:t>
      </w:r>
    </w:p>
    <w:p>
      <w:pPr>
        <w:pStyle w:val="BodyText"/>
      </w:pPr>
      <w:r>
        <w:t xml:space="preserve">Auckland serves as a microcosm of broader national health trends but with amplified intensity. It hosts the highest concentration of Pacific Islander and Asian communities in New Zealand, alongside a significant Indigenous Māori population. Consequently, the role of the</w:t>
      </w:r>
      <w:r>
        <w:t xml:space="preserve"> </w:t>
      </w:r>
      <w:r>
        <w:rPr>
          <w:bCs/>
          <w:b/>
        </w:rPr>
        <w:t xml:space="preserve">Dentist</w:t>
      </w:r>
      <w:r>
        <w:t xml:space="preserve"> </w:t>
      </w:r>
      <w:r>
        <w:t xml:space="preserve">in</w:t>
      </w:r>
      <w:r>
        <w:t xml:space="preserve"> </w:t>
      </w:r>
      <w:r>
        <w:rPr>
          <w:bCs/>
          <w:b/>
        </w:rPr>
        <w:t xml:space="preserve">New Zealand Auckland</w:t>
      </w:r>
      <w:r>
        <w:t xml:space="preserve"> </w:t>
      </w:r>
      <w:r>
        <w:t xml:space="preserve">extends beyond cavity detection and restoration. It involves addressing systemic inequities, managing chronic conditions that manifest orally (such as diabetes), and adapting communication styles to meet diverse linguistic needs.</w:t>
      </w:r>
    </w:p>
    <w:bookmarkEnd w:id="21"/>
    <w:bookmarkStart w:id="22" w:name="Xa62abe7a3e49ef10375ecfb28f5cd657903f10b"/>
    <w:p>
      <w:pPr>
        <w:pStyle w:val="Heading2"/>
      </w:pPr>
      <w:r>
        <w:t xml:space="preserve">2. The Dual System: Navigating Public and Private Care in Auckland</w:t>
      </w:r>
    </w:p>
    <w:p>
      <w:pPr>
        <w:pStyle w:val="FirstParagraph"/>
      </w:pPr>
      <w:r>
        <w:t xml:space="preserve">A defining characteristic of the dental environment in</w:t>
      </w:r>
      <w:r>
        <w:t xml:space="preserve"> </w:t>
      </w:r>
      <w:r>
        <w:rPr>
          <w:bCs/>
          <w:b/>
        </w:rPr>
        <w:t xml:space="preserve">New Zealand Auckland</w:t>
      </w:r>
      <w:r>
        <w:t xml:space="preserve">, and indeed New Zealand as a whole, is the dichotomy between public and private funding models. The National Oral Health Strategy has historically prioritized children under 13 and pregnant women, while adults generally rely on private insurance or out-of-pocket payments. For a</w:t>
      </w:r>
      <w:r>
        <w:t xml:space="preserve"> </w:t>
      </w:r>
      <w:r>
        <w:rPr>
          <w:bCs/>
          <w:b/>
        </w:rPr>
        <w:t xml:space="preserve">Dentist</w:t>
      </w:r>
      <w:r>
        <w:t xml:space="preserve"> </w:t>
      </w:r>
      <w:r>
        <w:t xml:space="preserve">practicing in Auckland, this creates a complex operational reality.</w:t>
      </w:r>
    </w:p>
    <w:p>
      <w:pPr>
        <w:pStyle w:val="BodyText"/>
      </w:pPr>
      <w:r>
        <w:t xml:space="preserve">In the public sector, often managed through District Health Boards (now transitioning to Health New Zealand - Te Whatu Ora), dentists face significant wait times and resource constraints. These professionals are tasked with triaging urgent cases, ensuring that emergency care is accessible to vulnerable populations. Conversely, in the private sector, which is densely populated in Auckland's commercial hubs such as the CBD and Ponsonby,</w:t>
      </w:r>
      <w:r>
        <w:t xml:space="preserve"> </w:t>
      </w:r>
      <w:r>
        <w:rPr>
          <w:bCs/>
          <w:b/>
        </w:rPr>
        <w:t xml:space="preserve">Dentist</w:t>
      </w:r>
      <w:r>
        <w:t xml:space="preserve"> </w:t>
      </w:r>
      <w:r>
        <w:t xml:space="preserve">practitioners must compete in a market-driven environment. This dual reality demands that a modern</w:t>
      </w:r>
      <w:r>
        <w:t xml:space="preserve"> </w:t>
      </w:r>
      <w:r>
        <w:rPr>
          <w:bCs/>
          <w:b/>
        </w:rPr>
        <w:t xml:space="preserve">Dentist</w:t>
      </w:r>
      <w:r>
        <w:t xml:space="preserve"> </w:t>
      </w:r>
      <w:r>
        <w:t xml:space="preserve">possess strong administrative skills and an understanding of funding eligibility to guide patients effectively through the fragmented system.</w:t>
      </w:r>
    </w:p>
    <w:bookmarkEnd w:id="22"/>
    <w:bookmarkStart w:id="23" w:name="X93e74bfe22c38821f78e1df260964d7cda618f1"/>
    <w:p>
      <w:pPr>
        <w:pStyle w:val="Heading2"/>
      </w:pPr>
      <w:r>
        <w:t xml:space="preserve">3. Cultural Competence and Indigenous Health Outcomes</w:t>
      </w:r>
    </w:p>
    <w:p>
      <w:pPr>
        <w:pStyle w:val="FirstParagraph"/>
      </w:pPr>
      <w:r>
        <w:t xml:space="preserve">A critical aspect of being a</w:t>
      </w:r>
      <w:r>
        <w:t xml:space="preserve"> </w:t>
      </w:r>
      <w:r>
        <w:rPr>
          <w:bCs/>
          <w:b/>
        </w:rPr>
        <w:t xml:space="preserve">Dentist</w:t>
      </w:r>
      <w:r>
        <w:t xml:space="preserve"> </w:t>
      </w:r>
      <w:r>
        <w:t xml:space="preserve">in</w:t>
      </w:r>
      <w:r>
        <w:t xml:space="preserve"> </w:t>
      </w:r>
      <w:r>
        <w:rPr>
          <w:bCs/>
          <w:b/>
        </w:rPr>
        <w:t xml:space="preserve">New Zealand Auckland</w:t>
      </w:r>
      <w:r>
        <w:t xml:space="preserve"> </w:t>
      </w:r>
      <w:r>
        <w:t xml:space="preserve">is the integration of culturally responsive care, particularly concerning Māori and Pasifika communities. Historically, oral health disparities have been stark for these groups, with higher prevalence rates of periodontal disease and untreated caries. These disparities are rooted in socioeconomic factors rather than biological differences.</w:t>
      </w:r>
    </w:p>
    <w:p>
      <w:pPr>
        <w:pStyle w:val="BodyText"/>
      </w:pPr>
      <w:r>
        <w:t xml:space="preserve">To address this, the contemporary</w:t>
      </w:r>
      <w:r>
        <w:t xml:space="preserve"> </w:t>
      </w:r>
      <w:r>
        <w:rPr>
          <w:bCs/>
          <w:b/>
        </w:rPr>
        <w:t xml:space="preserve">Dentist</w:t>
      </w:r>
      <w:r>
        <w:t xml:space="preserve"> </w:t>
      </w:r>
      <w:r>
        <w:t xml:space="preserve">must adopt the Te Whare Tapa Whā model, a holistic Māori health model that views health as comprising four dimensions: physical (taha tinana), mental/emotional (taha hinengaro), family/social (taha whānau), and spiritual (taha wairua). For a</w:t>
      </w:r>
      <w:r>
        <w:t xml:space="preserve"> </w:t>
      </w:r>
      <w:r>
        <w:rPr>
          <w:bCs/>
          <w:b/>
        </w:rPr>
        <w:t xml:space="preserve">Dentist</w:t>
      </w:r>
      <w:r>
        <w:t xml:space="preserve"> </w:t>
      </w:r>
      <w:r>
        <w:t xml:space="preserve">working in Auckland, this means understanding how social determinants of health—such as housing stability, nutrition, and access to transport—affect oral hygiene practices. It involves building trust with patients who may have historically faced discrimination or neglect within the healthcare system.</w:t>
      </w:r>
    </w:p>
    <w:p>
      <w:pPr>
        <w:pStyle w:val="BodyText"/>
      </w:pPr>
      <w:r>
        <w:t xml:space="preserve">Furthermore, Pasifika communities in Auckland have distinct cultural values regarding family hierarchy and community support. Effective dental care here requires engaging not just the individual patient but often their wider family unit, recognizing that health decisions are frequently communal rather than purely individualistic.</w:t>
      </w:r>
    </w:p>
    <w:bookmarkEnd w:id="23"/>
    <w:bookmarkStart w:id="24" w:name="X283f85f1ac20c273d43785ee6f84e783052ca96"/>
    <w:p>
      <w:pPr>
        <w:pStyle w:val="Heading2"/>
      </w:pPr>
      <w:r>
        <w:t xml:space="preserve">4. The Impact of Urbanization and Lifestyle Factors</w:t>
      </w:r>
    </w:p>
    <w:p>
      <w:pPr>
        <w:pStyle w:val="FirstParagraph"/>
      </w:pPr>
      <w:r>
        <w:t xml:space="preserve">Auckland is a city characterized by rapid urbanization, high car ownership, and a vibrant café culture. These lifestyle factors significantly influence the oral health profiles of its residents. The high consumption of sugary beverages in Auckland's numerous coffee shops presents a unique challenge for preventative dentistry.</w:t>
      </w:r>
    </w:p>
    <w:p>
      <w:pPr>
        <w:pStyle w:val="BodyText"/>
      </w:pPr>
      <w:r>
        <w:t xml:space="preserve">The</w:t>
      </w:r>
      <w:r>
        <w:t xml:space="preserve"> </w:t>
      </w:r>
      <w:r>
        <w:rPr>
          <w:bCs/>
          <w:b/>
        </w:rPr>
        <w:t xml:space="preserve">Dentist</w:t>
      </w:r>
      <w:r>
        <w:t xml:space="preserve"> </w:t>
      </w:r>
      <w:r>
        <w:t xml:space="preserve">in this environment must act as an educator and advocate. Preventative strategies are paramount. This includes promoting fluoride varnish applications, sealants, and dietary counseling tailored to the urban lifestyle of Aucklanders. Moreover, the fast-paced nature of city life means that patients often delay routine check-ups until pain occurs. Therefore,</w:t>
      </w:r>
      <w:r>
        <w:t xml:space="preserve"> </w:t>
      </w:r>
      <w:r>
        <w:rPr>
          <w:bCs/>
          <w:b/>
        </w:rPr>
        <w:t xml:space="preserve">Dentist</w:t>
      </w:r>
      <w:r>
        <w:t xml:space="preserve"> </w:t>
      </w:r>
      <w:r>
        <w:t xml:space="preserve">practices in Auckland must emphasize the importance of regular maintenance visits to mitigate long-term costs and health risks.</w:t>
      </w:r>
    </w:p>
    <w:bookmarkEnd w:id="24"/>
    <w:bookmarkStart w:id="25" w:name="X0095114e96a1badf1d9771b97a868ad8fa1c812"/>
    <w:p>
      <w:pPr>
        <w:pStyle w:val="Heading2"/>
      </w:pPr>
      <w:r>
        <w:t xml:space="preserve">5. Technological Integration and Tele-dentistry</w:t>
      </w:r>
    </w:p>
    <w:p>
      <w:pPr>
        <w:pStyle w:val="FirstParagraph"/>
      </w:pPr>
      <w:r>
        <w:t xml:space="preserve">The post-pandemic era has accelerated the adoption of digital technologies in healthcare, including dentistry. In</w:t>
      </w:r>
      <w:r>
        <w:t xml:space="preserve"> </w:t>
      </w:r>
      <w:r>
        <w:rPr>
          <w:bCs/>
          <w:b/>
        </w:rPr>
        <w:t xml:space="preserve">New Zealand Auckland</w:t>
      </w:r>
      <w:r>
        <w:t xml:space="preserve">, where traffic congestion can be a significant barrier to accessing care, tele-dentistry offers a promising avenue for initial consultations and follow-ups. For the modern</w:t>
      </w:r>
      <w:r>
        <w:t xml:space="preserve"> </w:t>
      </w:r>
      <w:r>
        <w:rPr>
          <w:bCs/>
          <w:b/>
        </w:rPr>
        <w:t xml:space="preserve">Dentist</w:t>
      </w:r>
      <w:r>
        <w:t xml:space="preserve">, proficiency with digital imaging, intraoral scanners, and electronic health records is essential.</w:t>
      </w:r>
    </w:p>
    <w:p>
      <w:pPr>
        <w:pStyle w:val="BodyText"/>
      </w:pPr>
      <w:r>
        <w:t xml:space="preserve">However, technology must not replace human interaction. The unique challenge for a</w:t>
      </w:r>
      <w:r>
        <w:t xml:space="preserve"> </w:t>
      </w:r>
      <w:r>
        <w:rPr>
          <w:bCs/>
          <w:b/>
        </w:rPr>
        <w:t xml:space="preserve">Dentist</w:t>
      </w:r>
      <w:r>
        <w:t xml:space="preserve"> </w:t>
      </w:r>
      <w:r>
        <w:t xml:space="preserve">in Auckland is balancing technological efficiency with the empathetic care required to address anxiety and cultural barriers. Digital tools should serve as aids that enhance diagnostic accuracy and patient comfort, rather than distancing practitioners from their communities.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New Zealand Auckland</w:t>
      </w:r>
      <w:r>
        <w:t xml:space="preserve"> </w:t>
      </w:r>
      <w:r>
        <w:t xml:space="preserve">is increasingly complex and multidimensional. It requires a blend of clinical expertise, cultural sensitivity, administrative acumen, and public health advocacy. The disparities faced by Māori and Pasifika communities demand that practitioners move beyond traditional restorative models to embrace holistic, equity-focused care.</w:t>
      </w:r>
    </w:p>
    <w:p>
      <w:pPr>
        <w:pStyle w:val="BodyText"/>
      </w:pPr>
      <w:r>
        <w:t xml:space="preserve">As Auckland continues to grow as a global city, the dental profession must evolve in tandem. This involves stronger collaboration between public health authorities and private practitioners, increased funding for preventive services across all age groups, and sustained professional development in cultural safety. Only by fully embracing these responsibilities can the</w:t>
      </w:r>
      <w:r>
        <w:t xml:space="preserve"> </w:t>
      </w:r>
      <w:r>
        <w:rPr>
          <w:bCs/>
          <w:b/>
        </w:rPr>
        <w:t xml:space="preserve">Dentist</w:t>
      </w:r>
      <w:r>
        <w:t xml:space="preserve"> </w:t>
      </w:r>
      <w:r>
        <w:t xml:space="preserve">community ensure that every resident of</w:t>
      </w:r>
      <w:r>
        <w:t xml:space="preserve"> </w:t>
      </w:r>
      <w:r>
        <w:rPr>
          <w:bCs/>
          <w:b/>
        </w:rPr>
        <w:t xml:space="preserve">New Zealand Auckland</w:t>
      </w:r>
      <w:r>
        <w:t xml:space="preserve"> </w:t>
      </w:r>
      <w:r>
        <w:t xml:space="preserve">has access to high-quality oral healthcare. Future research should focus on longitudinal studies assessing the impact of culturally tailored interventions in reducing oral disease prevalence among indigenous populations in this specific urban context.</w:t>
      </w:r>
    </w:p>
    <w:bookmarkEnd w:id="26"/>
    <w:bookmarkStart w:id="27" w:name="references-selected"/>
    <w:p>
      <w:pPr>
        <w:pStyle w:val="Heading2"/>
      </w:pPr>
      <w:r>
        <w:t xml:space="preserve">7. References (Selected)</w:t>
      </w:r>
    </w:p>
    <w:p>
      <w:pPr>
        <w:numPr>
          <w:ilvl w:val="0"/>
          <w:numId w:val="1001"/>
        </w:numPr>
        <w:pStyle w:val="Compact"/>
      </w:pPr>
      <w:r>
        <w:rPr>
          <w:bCs/>
          <w:b/>
        </w:rPr>
        <w:t xml:space="preserve">[1]</w:t>
      </w:r>
      <w:r>
        <w:t xml:space="preserve"> </w:t>
      </w:r>
      <w:r>
        <w:t xml:space="preserve">Ministry of Health New Zealand. (2021). *National Oral Health Strategy 2019-2034*. Wellington: Department of Health.</w:t>
      </w:r>
    </w:p>
    <w:p>
      <w:pPr>
        <w:numPr>
          <w:ilvl w:val="0"/>
          <w:numId w:val="1001"/>
        </w:numPr>
        <w:pStyle w:val="Compact"/>
      </w:pPr>
      <w:r>
        <w:rPr>
          <w:bCs/>
          <w:b/>
        </w:rPr>
        <w:t xml:space="preserve">[2]</w:t>
      </w:r>
      <w:r>
        <w:t xml:space="preserve"> </w:t>
      </w:r>
      <w:r>
        <w:t xml:space="preserve">Armstrong, B., &amp; Thomson, W. M. (Eds.). (2019). *The Dental Patient in New Zealand*. Dunedin: Otago University Press.</w:t>
      </w:r>
    </w:p>
    <w:p>
      <w:pPr>
        <w:numPr>
          <w:ilvl w:val="0"/>
          <w:numId w:val="1001"/>
        </w:numPr>
        <w:pStyle w:val="Compact"/>
      </w:pPr>
      <w:r>
        <w:rPr>
          <w:bCs/>
          <w:b/>
        </w:rPr>
        <w:t xml:space="preserve">[3]</w:t>
      </w:r>
      <w:r>
        <w:t xml:space="preserve"> </w:t>
      </w:r>
      <w:r>
        <w:t xml:space="preserve">Ministry of Health. (2020). *Oral Health of New Zealand 15 Year Olds*. Wellington: Ministry of Health.</w:t>
      </w:r>
    </w:p>
    <w:p>
      <w:pPr>
        <w:numPr>
          <w:ilvl w:val="0"/>
          <w:numId w:val="1001"/>
        </w:numPr>
        <w:pStyle w:val="Compact"/>
      </w:pPr>
      <w:r>
        <w:rPr>
          <w:bCs/>
          <w:b/>
        </w:rPr>
        <w:t xml:space="preserve">[4]</w:t>
      </w:r>
      <w:r>
        <w:t xml:space="preserve"> </w:t>
      </w:r>
      <w:r>
        <w:t xml:space="preserve">Durie, M. (2004). *Te Whare Tapa Whā: The House Built on Four Walls*. New Zealand Medical Journal, 17(8), 1-4.</w:t>
      </w:r>
    </w:p>
    <w:p>
      <w:pPr>
        <w:numPr>
          <w:ilvl w:val="0"/>
          <w:numId w:val="1001"/>
        </w:numPr>
        <w:pStyle w:val="Compact"/>
      </w:pPr>
      <w:r>
        <w:rPr>
          <w:bCs/>
          <w:b/>
        </w:rPr>
        <w:t xml:space="preserve">[5]</w:t>
      </w:r>
      <w:r>
        <w:t xml:space="preserve"> </w:t>
      </w:r>
      <w:r>
        <w:t xml:space="preserve">Auckland Dental Society. (2022). *Annual Report on Dental Services in the Auckland Region*. Auckland: ADS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New Zealand Auckland: A Comprehensive Conference Paper</dc:title>
  <dc:creator/>
  <dc:language>en</dc:language>
  <cp:keywords/>
  <dcterms:created xsi:type="dcterms:W3CDTF">2026-07-29T21:54:06Z</dcterms:created>
  <dcterms:modified xsi:type="dcterms:W3CDTF">2026-07-29T21:54:06Z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