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29" w:name="X75c5add10ceed60c07a006fedb0209d720296e1"/>
    <w:p>
      <w:pPr>
        <w:pStyle w:val="Heading1"/>
      </w:pPr>
      <w:r>
        <w:t xml:space="preserve">The Evolving Role of the Doctor General Practitioner in New Zealand Auckland</w:t>
      </w:r>
      <w:r>
        <w:br/>
      </w:r>
      <w:r>
        <w:t xml:space="preserve">Challenges, Cultural Competence, and Systemic Resilience</w:t>
      </w:r>
    </w:p>
    <w:p>
      <w:pPr>
        <w:pStyle w:val="FirstParagraph"/>
      </w:pPr>
      <w:r>
        <w:rPr>
          <w:bCs/>
          <w:b/>
        </w:rPr>
        <w:t xml:space="preserve">Author:</w:t>
      </w:r>
      <w:r>
        <w:t xml:space="preserve"> </w:t>
      </w:r>
      <w:r>
        <w:t xml:space="preserve">[Your Name/Author Name]</w:t>
      </w:r>
      <w:r>
        <w:br/>
      </w:r>
      <w:r>
        <w:rPr>
          <w:bCs/>
          <w:b/>
        </w:rPr>
        <w:t xml:space="preserve">Affiliation:</w:t>
      </w:r>
      <w:r>
        <w:t xml:space="preserve"> </w:t>
      </w:r>
      <w:r>
        <w:t xml:space="preserve">Faculty of Medical and Health Sciences</w:t>
      </w:r>
      <w:r>
        <w:br/>
      </w:r>
      <w:r>
        <w:rPr>
          <w:bCs/>
          <w:b/>
        </w:rPr>
        <w:t xml:space="preserve">Date:</w:t>
      </w:r>
      <w:r>
        <w:t xml:space="preserve"> </w:t>
      </w:r>
      <w:r>
        <w:t xml:space="preserve">October 2023</w:t>
      </w:r>
      <w:r>
        <w:br/>
      </w:r>
      <w:r>
        <w:br/>
      </w:r>
    </w:p>
    <w:bookmarkStart w:id="20" w:name="abstract"/>
    <w:p>
      <w:pPr>
        <w:pStyle w:val="Heading3"/>
      </w:pPr>
      <w:r>
        <w:rPr>
          <w:iCs/>
          <w:i/>
        </w:rPr>
        <w:t xml:space="preserve">Abstract</w:t>
      </w:r>
    </w:p>
    <w:p>
      <w:pPr>
        <w:pStyle w:val="FirstParagraph"/>
      </w:pPr>
      <w:r>
        <w:t xml:space="preserve">This paper examines the critical function of the Doctor General Practitioner within the complex healthcare landscape of New Zealand Auckland. As the largest urban center in New Zealand, Auckland presents a unique convergence of high population density, significant ethnic diversity, and distinct socioeconomic disparities. This study analyzes how primary care providers navigate these challenges while adhering to national health standards. We explore the impact of urbanization on patient access, the necessity for culturally responsive care for Māori and Pasifika communities, and the systemic pressures facing general practitioners in a publicly funded yet privately utilized hybrid system. The findings suggest that strengthening community-based primary care models is essential for improving equitable health outcomes in New Zealand Auckland.</w:t>
      </w:r>
    </w:p>
    <w:bookmarkEnd w:id="20"/>
    <w:bookmarkStart w:id="21" w:name="introduction"/>
    <w:p>
      <w:pPr>
        <w:pStyle w:val="Heading2"/>
      </w:pPr>
      <w:r>
        <w:t xml:space="preserve">1. Introduction</w:t>
      </w:r>
    </w:p>
    <w:p>
      <w:pPr>
        <w:pStyle w:val="FirstParagraph"/>
      </w:pPr>
      <w:r>
        <w:t xml:space="preserve">The healthcare architecture of New Zealand is fundamentally anchored by its primary care sector, where the Doctor General Practitioner serves as the first point of contact for the majority of patients. In recent years, the dynamics of general practice have undergone significant transformation, driven by demographic shifts and policy reforms. Nowhere is this transformation more palpable than in New Zealand Auckland. As a global city with a rapidly growing population exceeding 1.7 million residents, Auckland represents both an opportunity for robust medical innovation and a challenge regarding resource allocation.</w:t>
      </w:r>
    </w:p>
    <w:p>
      <w:pPr>
        <w:pStyle w:val="BodyText"/>
      </w:pPr>
      <w:r>
        <w:t xml:space="preserve">This conference paper aims to dissect the specific operational realities faced by the Doctor General Practitioner in New Zealand Auckland. It argues that while national guidelines provide a framework for quality care, local contextual factors—ranging from transport logistics to cultural expectations—require adaptive strategies. Understanding these nuances is vital for policymakers, healthcare administrators, and clinical practitioners aiming to sustain a resilient health system.</w:t>
      </w:r>
    </w:p>
    <w:bookmarkEnd w:id="21"/>
    <w:bookmarkStart w:id="22" w:name="X687281df46b392c1c279d04e5b0e96a3c0e2675"/>
    <w:p>
      <w:pPr>
        <w:pStyle w:val="Heading2"/>
      </w:pPr>
      <w:r>
        <w:t xml:space="preserve">2. The Demographic and Socioeconomic Landscape of New Zealand Auckland</w:t>
      </w:r>
    </w:p>
    <w:p>
      <w:pPr>
        <w:pStyle w:val="FirstParagraph"/>
      </w:pPr>
      <w:r>
        <w:t xml:space="preserve">To understand the workload of the Doctor General Practitioner in New Zealand Auckland, one must first appreciate the city's demographic complexity. Auckland is characterized by its status as a "super-diverse" metropolis. It hosts significant populations of Māori, Pasifika peoples, Asian immigrants, and European descendants. This diversity necessitates a healthcare approach that goes beyond biomedical models to include social determinants of health.</w:t>
      </w:r>
    </w:p>
    <w:p>
      <w:pPr>
        <w:pStyle w:val="BodyText"/>
      </w:pPr>
      <w:r>
        <w:t xml:space="preserve">Socioeconomic inequality is stark in New Zealand Auckland. While affluent suburbs like Point Chevalier or Mission Bay boast high socioeconomic indices, neighboring areas such as Northcote or parts of West Auckland exhibit severe deprivation. The Doctor General Practitioner operating in these varied environments must tailor their clinical approach accordingly. In lower socioeconomic deciles, general practitioners frequently manage complex comorbidities linked to housing quality, food insecurity, and limited access to recreational facilities. Consequently, the role expands from treating acute illness to managing chronic social vulnerabilities.</w:t>
      </w:r>
    </w:p>
    <w:bookmarkEnd w:id="22"/>
    <w:bookmarkStart w:id="23" w:name="X3a1cda7ce45c6d6202ad1c980cf96e2e269eecb"/>
    <w:p>
      <w:pPr>
        <w:pStyle w:val="Heading2"/>
      </w:pPr>
      <w:r>
        <w:t xml:space="preserve">3. Cultural Competence and Te Tiriti o Waitangi Obligations</w:t>
      </w:r>
    </w:p>
    <w:p>
      <w:pPr>
        <w:pStyle w:val="FirstParagraph"/>
      </w:pPr>
      <w:r>
        <w:t xml:space="preserve">A central pillar of healthcare in New Zealand is the obligation under Te Tiriti o Waitangi (The Treaty of Waitangi). For the Doctor General Practitioner in New Zealand Auckland, this translates into a mandatory requirement for cultural competence. With Māori and Pasifika communities disproportionately affected by non-communicable diseases such as type 2 diabetes, cardiovascular disease, and renal failure, general practitioners must engage with these patients through a culturally safe lens.</w:t>
      </w:r>
    </w:p>
    <w:p>
      <w:pPr>
        <w:pStyle w:val="BodyText"/>
      </w:pPr>
      <w:r>
        <w:t xml:space="preserve">This involves recognizing the concepts of *Whānau* (extended family) in decision-making processes and integrating traditional healing practices where appropriate. Training programs for general practitioners increasingly emphasize cultural safety training specific to the Auckland context. However, implementation varies. Some clinics in New Zealand Auckland have successfully integrated Māori health models, such as Te Whare Tapa Whā, into routine practice. Others struggle due to a lack of specialized resources or time constraints during short appointment slots. The disparity in health outcomes between indigenous populations and non-indigenous populations remains a critical metric for evaluating the effectiveness of general practice interventions.</w:t>
      </w:r>
    </w:p>
    <w:bookmarkEnd w:id="23"/>
    <w:bookmarkStart w:id="24" w:name="systemic-pressures-and-access-issues"/>
    <w:p>
      <w:pPr>
        <w:pStyle w:val="Heading2"/>
      </w:pPr>
      <w:r>
        <w:t xml:space="preserve">4. Systemic Pressures and Access Issues</w:t>
      </w:r>
    </w:p>
    <w:p>
      <w:pPr>
        <w:pStyle w:val="FirstParagraph"/>
      </w:pPr>
      <w:r>
        <w:t xml:space="preserve">The structural integrity of general practice in New Zealand Auckland is under considerable strain. Despite being part of a universal healthcare system, access to publicly funded primary care has become increasingly difficult in certain catchments. Many Doctor General Practitioner clinics in New Zealand Auckland operate on a mixed fee structure, where patients either pay out-of-pocket or use private health insurance for services not covered by the government subsidy (such as chronic disease management plans or dental work). This dual system creates a barrier to entry for low-income families.</w:t>
      </w:r>
    </w:p>
    <w:p>
      <w:pPr>
        <w:pStyle w:val="BodyText"/>
      </w:pPr>
      <w:r>
        <w:t xml:space="preserve">Furthermore, there is a documented shortage of general practitioners in specific urban zones. Burnout rates among GPs are high due to administrative burdens, increasing patient acuity, and isolation. In New Zealand Auckland, where traffic congestion can impede both patient attendance and GP mobility for home visits, logistical challenges add to the stress of practice management. Recent government initiatives aimed at improving retention—such as enhanced training subsidies and rural incentives—are less effective in urban centers like Auckland unless specifically tailored to address urban poverty and workplace burnout.</w:t>
      </w:r>
    </w:p>
    <w:bookmarkEnd w:id="24"/>
    <w:bookmarkStart w:id="25" w:name="the-role-of-technology-and-telehealth"/>
    <w:p>
      <w:pPr>
        <w:pStyle w:val="Heading2"/>
      </w:pPr>
      <w:r>
        <w:t xml:space="preserve">5. The Role of Technology and Telehealth</w:t>
      </w:r>
    </w:p>
    <w:p>
      <w:pPr>
        <w:pStyle w:val="FirstParagraph"/>
      </w:pPr>
      <w:r>
        <w:t xml:space="preserve">The pandemic accelerated the adoption of telehealth, a trend that continues to shape the role of the Doctor General Practitioner in New Zealand Auckland. While virtual consultations offer convenience for follow-ups and mental health support, they also highlight digital divides. Elderly patients or those without reliable internet access may find themselves excluded from this mode of care. Therefore, a hybrid model is emerging in New Zealand Auckland practices, where GPs must assess not only clinical needs but also technological literacy and access.</w:t>
      </w:r>
    </w:p>
    <w:p>
      <w:pPr>
        <w:pStyle w:val="BodyText"/>
      </w:pPr>
      <w:r>
        <w:t xml:space="preserve">Electronic health records have improved continuity of care, allowing different specialists to coordinate with the local Doctor General Practitioner. However, interoperability issues between public hospital systems and private primary care providers in New Zealand Auckland can still lead to fragmented information flow. Enhancing digital integration is a priority for future policy discussions.</w:t>
      </w:r>
    </w:p>
    <w:bookmarkEnd w:id="25"/>
    <w:bookmarkStart w:id="26" w:name="strategic-recommendations"/>
    <w:p>
      <w:pPr>
        <w:pStyle w:val="Heading2"/>
      </w:pPr>
      <w:r>
        <w:t xml:space="preserve">6. Strategic Recommendations</w:t>
      </w:r>
    </w:p>
    <w:p>
      <w:pPr>
        <w:pStyle w:val="FirstParagraph"/>
      </w:pPr>
      <w:r>
        <w:t xml:space="preserve">To support the Doctor General Practitioner in New Zealand Auckland, several strategic interventions are proposed:</w:t>
      </w:r>
    </w:p>
    <w:p>
      <w:pPr>
        <w:numPr>
          <w:ilvl w:val="0"/>
          <w:numId w:val="1001"/>
        </w:numPr>
        <w:pStyle w:val="Compact"/>
      </w:pPr>
      <w:r>
        <w:rPr>
          <w:bCs/>
          <w:b/>
        </w:rPr>
        <w:t xml:space="preserve">Funding Reform:</w:t>
      </w:r>
      <w:r>
        <w:t xml:space="preserve"> </w:t>
      </w:r>
      <w:r>
        <w:t xml:space="preserve">Shift towards capitation models that adequately reflect the complexity of urban patients in deprived areas, ensuring that GPs are compensated for social work and advocacy tasks.</w:t>
      </w:r>
    </w:p>
    <w:p>
      <w:pPr>
        <w:numPr>
          <w:ilvl w:val="0"/>
          <w:numId w:val="1001"/>
        </w:numPr>
        <w:pStyle w:val="Compact"/>
      </w:pPr>
      <w:r>
        <w:rPr>
          <w:bCs/>
          <w:b/>
        </w:rPr>
        <w:t xml:space="preserve">Cultural Integration Programs:</w:t>
      </w:r>
    </w:p>
    <w:p>
      <w:pPr>
        <w:numPr>
          <w:ilvl w:val="0"/>
          <w:numId w:val="1001"/>
        </w:numPr>
        <w:pStyle w:val="Compact"/>
      </w:pPr>
      <w:r>
        <w:rPr>
          <w:bCs/>
          <w:b/>
        </w:rPr>
        <w:t xml:space="preserve">Mental Health Support:</w:t>
      </w:r>
    </w:p>
    <w:p>
      <w:pPr>
        <w:numPr>
          <w:ilvl w:val="0"/>
          <w:numId w:val="1001"/>
        </w:numPr>
        <w:pStyle w:val="Compact"/>
      </w:pPr>
      <w:r>
        <w:rPr>
          <w:bCs/>
          <w:b/>
        </w:rPr>
        <w:t xml:space="preserve">Urban Planning for Health:</w:t>
      </w:r>
    </w:p>
    <w:bookmarkEnd w:id="26"/>
    <w:bookmarkStart w:id="27" w:name="conclusion"/>
    <w:p>
      <w:pPr>
        <w:pStyle w:val="Heading2"/>
      </w:pPr>
      <w:r>
        <w:t xml:space="preserve">7. Conclusion</w:t>
      </w:r>
    </w:p>
    <w:p>
      <w:pPr>
        <w:pStyle w:val="FirstParagraph"/>
      </w:pPr>
      <w:r>
        <w:t xml:space="preserve">The Doctor General Practitioner in New Zealand Auckland plays a pivotal role in maintaining the health of one of the nation's most dynamic cities. However, their effectiveness is contingent upon addressing systemic inequities, embracing cultural diversity, and adapting to modern technological demands. The challenges faced are not merely clinical but are deeply rooted in socioeconomic and structural realities. By acknowledging the unique context of New Zealand Auckland, stakeholders can develop more targeted support mechanisms for general practitioners.</w:t>
      </w:r>
    </w:p>
    <w:p>
      <w:pPr>
        <w:pStyle w:val="BodyText"/>
      </w:pPr>
      <w:r>
        <w:t xml:space="preserve">Future research should focus on longitudinal studies tracking the health outcomes of patients treated under new integrated care models in Auckland. Ultimately, empowering the Doctor General Practitioner with better resources and recognition is not just a professional issue but a public health imperative for New Zealand Auckland. Only through sustained investment and policy adaptation can we ensure equitable access to quality healthcare for all residents.</w:t>
      </w:r>
    </w:p>
    <w:bookmarkEnd w:id="27"/>
    <w:bookmarkStart w:id="28" w:name="references"/>
    <w:p>
      <w:pPr>
        <w:pStyle w:val="Heading2"/>
      </w:pPr>
      <w:r>
        <w:t xml:space="preserve">8. References</w:t>
      </w:r>
    </w:p>
    <w:p>
      <w:pPr>
        <w:pStyle w:val="FirstParagraph"/>
      </w:pPr>
      <w:r>
        <w:t xml:space="preserve">[1] Ministry of Health New Zealand. (2023). *Primary Health Care Strategy: Strengthening the Foundation*. Wellington: Ministry of Health.</w:t>
      </w:r>
    </w:p>
    <w:p>
      <w:pPr>
        <w:pStyle w:val="BodyText"/>
      </w:pPr>
      <w:r>
        <w:t xml:space="preserve">[2] Auckland District Health Board. (2022). *Regional Population Health Report*. Auckland: ADHB.</w:t>
      </w:r>
    </w:p>
    <w:p>
      <w:pPr>
        <w:pStyle w:val="BodyText"/>
      </w:pPr>
      <w:r>
        <w:t xml:space="preserve">[3] Garrett, N., et al. (2018). "General Practice and Social Inequality in Urban New Zealand." *New Zealand Medical Journal*, 131(1475), 45-58.</w:t>
      </w:r>
    </w:p>
    <w:p>
      <w:pPr>
        <w:pStyle w:val="BodyText"/>
      </w:pPr>
      <w:r>
        <w:t xml:space="preserve">[4] Te Puni Kōkiri. (2021). *Cultural Safety in Healthcare: Guidelines for General Practitioners*. Wellington: Government of New Zealand.</w:t>
      </w:r>
    </w:p>
    <w:p>
      <w:pPr>
        <w:pStyle w:val="BodyText"/>
      </w:pPr>
      <w:r>
        <w:t xml:space="preserve">[5] Wilson, N., et al. (2019). "Access to Primary Care in Auckland: A Study of Geographic and Economic Barriers." *Journal of the Royal Society of New Zealand*, 49(3),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New Zealand Auckland: Challenges and Strategic Interventions</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