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Diversification: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Economist</w:t>
      </w:r>
      <w:r>
        <w:t xml:space="preserve"> </w:t>
      </w:r>
      <w:r>
        <w:t xml:space="preserve">in</w:t>
      </w:r>
      <w:r>
        <w:t xml:space="preserve"> </w:t>
      </w:r>
      <w:r>
        <w:t xml:space="preserve">Kuwait</w:t>
      </w:r>
      <w:r>
        <w:t xml:space="preserve"> </w:t>
      </w:r>
      <w:r>
        <w:t xml:space="preserve">City</w:t>
      </w:r>
    </w:p>
    <w:bookmarkStart w:id="29" w:name="Xd320c9e4410beece95fbb055131e52db72e2684"/>
    <w:p>
      <w:pPr>
        <w:pStyle w:val="Heading1"/>
      </w:pPr>
      <w:r>
        <w:t xml:space="preserve">Economic Resilience and Diversification: The Role of the Modern Economist in Kuwait City</w:t>
      </w:r>
    </w:p>
    <w:p>
      <w:pPr>
        <w:pStyle w:val="FirstParagraph"/>
      </w:pPr>
      <w:r>
        <w:rPr>
          <w:bCs/>
          <w:b/>
        </w:rPr>
        <w:t xml:space="preserve">Alexander J. Thorne</w:t>
      </w:r>
      <w:r>
        <w:t xml:space="preserve">, Senior Fellow in Middle Eastern Economic Studies</w:t>
      </w:r>
      <w:r>
        <w:br/>
      </w:r>
      <w:r>
        <w:t xml:space="preserve">The Institute for Global Financial Policy</w:t>
      </w:r>
      <w:r>
        <w:br/>
      </w:r>
      <w:r>
        <w:t xml:space="preserve">Kuwait City, State of Kuwait</w:t>
      </w:r>
    </w:p>
    <w:p>
      <w:pPr>
        <w:pStyle w:val="BodyText"/>
      </w:pPr>
      <w:r>
        <w:rPr>
          <w:iCs/>
          <w:i/>
        </w:rPr>
        <w:t xml:space="preserve">Submitted for Presentation at the Annual Gulf Economic Forum 2024</w:t>
      </w:r>
    </w:p>
    <w:bookmarkStart w:id="20" w:name="abstract"/>
    <w:p>
      <w:pPr>
        <w:pStyle w:val="Heading2"/>
      </w:pPr>
      <w:r>
        <w:t xml:space="preserve">Abstract</w:t>
      </w:r>
    </w:p>
    <w:p>
      <w:pPr>
        <w:pStyle w:val="FirstParagraph"/>
      </w:pPr>
      <w:r>
        <w:t xml:space="preserve">This conference paper examines the evolving role of the professional Economist within the unique socio-economic landscape of Kuwait City. As a central hub for financial activity in the Persian Gulf, Kuwait City presents a distinct case study in post-oil transition strategies. This document analyzes how contemporary economic theories intersect with traditional rentier state dynamics, focusing on Vision 2035 ("New Kuwait"). We argue that the modern Economist must transcend traditional macroeconomic modeling to become an architect of institutional trust and diversification strategy. By reviewing recent fiscal policies and market trends in Kuwait City, this paper highlights the critical necessity for data-driven policymaking that balances sovereign wealth management with private sector stimulation.</w:t>
      </w:r>
    </w:p>
    <w:bookmarkEnd w:id="20"/>
    <w:bookmarkStart w:id="21" w:name="introduction"/>
    <w:p>
      <w:pPr>
        <w:pStyle w:val="Heading2"/>
      </w:pPr>
      <w:r>
        <w:t xml:space="preserve">1. Introduction</w:t>
      </w:r>
    </w:p>
    <w:p>
      <w:pPr>
        <w:pStyle w:val="FirstParagraph"/>
      </w:pPr>
      <w:r>
        <w:t xml:space="preserve">The identity of an</w:t>
      </w:r>
      <w:r>
        <w:t xml:space="preserve"> </w:t>
      </w:r>
      <w:r>
        <w:rPr>
          <w:bCs/>
          <w:b/>
        </w:rPr>
        <w:t xml:space="preserve">Economist</w:t>
      </w:r>
      <w:r>
        <w:t xml:space="preserve"> </w:t>
      </w:r>
      <w:r>
        <w:t xml:space="preserve">in the 21st century is increasingly defined by their ability to navigate complex geopolitical and structural dependencies. Nowhere is this more pertinent than in Kuwait City, a metropolis that stands at the crossroads of traditional energy wealth and modern financial ambition. As global energy markets fluctuate and environmental, social, and governance (ESG) criteria gain prominence, the demand for rigorous economic analysis has never been higher. This paper aims to contextualize the work of the</w:t>
      </w:r>
      <w:r>
        <w:t xml:space="preserve"> </w:t>
      </w:r>
      <w:r>
        <w:rPr>
          <w:bCs/>
          <w:b/>
        </w:rPr>
        <w:t xml:space="preserve">Economist</w:t>
      </w:r>
      <w:r>
        <w:t xml:space="preserve"> </w:t>
      </w:r>
      <w:r>
        <w:t xml:space="preserve">specifically within the regulatory and cultural framework of Kuwait City.</w:t>
      </w:r>
    </w:p>
    <w:p>
      <w:pPr>
        <w:pStyle w:val="BodyText"/>
      </w:pPr>
      <w:r>
        <w:t xml:space="preserve">Kuwait City is not merely a geographic location; it is a symbol of national sovereignty and economic aspiration. The city serves as the administrative heart where policy decisions are made, impacting millions of residents and influencing regional trade flows. For the</w:t>
      </w:r>
      <w:r>
        <w:t xml:space="preserve"> </w:t>
      </w:r>
      <w:r>
        <w:rPr>
          <w:bCs/>
          <w:b/>
        </w:rPr>
        <w:t xml:space="preserve">Economist</w:t>
      </w:r>
      <w:r>
        <w:t xml:space="preserve">, understanding the micro-dynamics of Kuwait City—its banking sectors, its real estate fluctuations, and its public expenditure patterns—is essential for any broader analysis of Gulf Cooperation Council (GCC) economic stability.</w:t>
      </w:r>
    </w:p>
    <w:bookmarkEnd w:id="21"/>
    <w:bookmarkStart w:id="22" w:name="Xf8098b0a9b9cfab166500c86f6ea46e4735fe94"/>
    <w:p>
      <w:pPr>
        <w:pStyle w:val="Heading2"/>
      </w:pPr>
      <w:r>
        <w:t xml:space="preserve">2. The Structural Challenge: Beyond Oil Dependency</w:t>
      </w:r>
    </w:p>
    <w:p>
      <w:pPr>
        <w:pStyle w:val="FirstParagraph"/>
      </w:pPr>
      <w:r>
        <w:t xml:space="preserve">The primary mandate facing the</w:t>
      </w:r>
      <w:r>
        <w:t xml:space="preserve"> </w:t>
      </w:r>
      <w:r>
        <w:rPr>
          <w:bCs/>
          <w:b/>
        </w:rPr>
        <w:t xml:space="preserve">Economist</w:t>
      </w:r>
      <w:r>
        <w:t xml:space="preserve"> </w:t>
      </w:r>
      <w:r>
        <w:t xml:space="preserve">in Kuwait City is the urgent need for economic diversification. Historically, the national economy has been heavily reliant on petroleum revenues, which account for a significant portion of government income and export earnings. However, volatility in oil prices necessitates a strategic pivot toward non-oil sectors such as finance, logistics, tourism, and technology.</w:t>
      </w:r>
    </w:p>
    <w:p>
      <w:pPr>
        <w:pStyle w:val="BodyText"/>
      </w:pPr>
      <w:r>
        <w:t xml:space="preserve">In Kuwait City’s Central Business District (CBD), one can observe the physical manifestation of this transition. Skyscrapers housing multinational financial firms stand alongside traditional government ministries. The</w:t>
      </w:r>
      <w:r>
        <w:t xml:space="preserve"> </w:t>
      </w:r>
      <w:r>
        <w:rPr>
          <w:bCs/>
          <w:b/>
        </w:rPr>
        <w:t xml:space="preserve">Economist</w:t>
      </w:r>
      <w:r>
        <w:t xml:space="preserve"> </w:t>
      </w:r>
      <w:r>
        <w:t xml:space="preserve">must analyze how these physical infrastructures support or hinder economic fluidity. Key questions include: How does the regulatory environment in Kuwait City encourage foreign direct investment (FDI)? Are the current labor market policies conducive to private sector growth? These are not abstract theoretical questions but pressing practical concerns that define the daily work of economists operating in this region.</w:t>
      </w:r>
    </w:p>
    <w:bookmarkEnd w:id="22"/>
    <w:bookmarkStart w:id="23" w:name="X22f10f1bf39f8375df79ac6576dfd11f86f1cfe"/>
    <w:p>
      <w:pPr>
        <w:pStyle w:val="Heading2"/>
      </w:pPr>
      <w:r>
        <w:t xml:space="preserve">3. The Role of Sovereign Wealth and Fiscal Policy</w:t>
      </w:r>
    </w:p>
    <w:p>
      <w:pPr>
        <w:pStyle w:val="FirstParagraph"/>
      </w:pPr>
      <w:r>
        <w:t xml:space="preserve">Kuwait is home to one of the world’s oldest and largest sovereign wealth funds, the Kuwait Investment Authority (KIA). For an</w:t>
      </w:r>
      <w:r>
        <w:t xml:space="preserve"> </w:t>
      </w:r>
      <w:r>
        <w:rPr>
          <w:bCs/>
          <w:b/>
        </w:rPr>
        <w:t xml:space="preserve">Economist</w:t>
      </w:r>
      <w:r>
        <w:t xml:space="preserve">, analyzing the performance and strategy of such entities is crucial. The KIA’s global portfolio provides a buffer against domestic economic shocks, but it also raises questions about transparency and return on investment.</w:t>
      </w:r>
    </w:p>
    <w:p>
      <w:pPr>
        <w:pStyle w:val="BodyText"/>
      </w:pPr>
      <w:r>
        <w:t xml:space="preserve">In Kuwait City, fiscal policy debates are intense. The tension between maintaining high public sector wages/subsidies and investing in sustainable long-term growth creates a complex policy environment. The</w:t>
      </w:r>
      <w:r>
        <w:t xml:space="preserve"> </w:t>
      </w:r>
      <w:r>
        <w:rPr>
          <w:bCs/>
          <w:b/>
        </w:rPr>
        <w:t xml:space="preserve">Economist</w:t>
      </w:r>
      <w:r>
        <w:t xml:space="preserve"> </w:t>
      </w:r>
      <w:r>
        <w:t xml:space="preserve">must employ sophisticated modeling to simulate the impact of subsidy reforms, tax introductions (such as VAT or corporate tax considerations), and privatization efforts. The goal is to achieve fiscal sustainability without causing social unrest, a delicate balancing act that requires deep local knowledge combined with global economic expertise.</w:t>
      </w:r>
    </w:p>
    <w:bookmarkEnd w:id="23"/>
    <w:bookmarkStart w:id="24" w:name="human-capital-and-the-knowledge-economy"/>
    <w:p>
      <w:pPr>
        <w:pStyle w:val="Heading2"/>
      </w:pPr>
      <w:r>
        <w:t xml:space="preserve">4. Human Capital and the Knowledge Economy</w:t>
      </w:r>
    </w:p>
    <w:p>
      <w:pPr>
        <w:pStyle w:val="FirstParagraph"/>
      </w:pPr>
      <w:r>
        <w:t xml:space="preserve">A critical aspect of the</w:t>
      </w:r>
      <w:r>
        <w:t xml:space="preserve"> </w:t>
      </w:r>
      <w:r>
        <w:rPr>
          <w:bCs/>
          <w:b/>
        </w:rPr>
        <w:t xml:space="preserve">Economist’s</w:t>
      </w:r>
      <w:r>
        <w:t xml:space="preserve"> </w:t>
      </w:r>
      <w:r>
        <w:t xml:space="preserve">portfolio in Kuwait City involves human capital development. The demographic structure of Kuwait City includes a significant expatriate workforce, which drives many service industries, while the national population requires integration into a competitive private sector economy.</w:t>
      </w:r>
    </w:p>
    <w:p>
      <w:pPr>
        <w:pStyle w:val="BodyText"/>
      </w:pPr>
      <w:r>
        <w:t xml:space="preserve">Vision 2035 ("New Kuwait") explicitly aims to shift from a rentier state to an entrepreneurial one. This shift requires education reform and skills development. The</w:t>
      </w:r>
      <w:r>
        <w:t xml:space="preserve"> </w:t>
      </w:r>
      <w:r>
        <w:rPr>
          <w:bCs/>
          <w:b/>
        </w:rPr>
        <w:t xml:space="preserve">Economist</w:t>
      </w:r>
      <w:r>
        <w:t xml:space="preserve"> </w:t>
      </w:r>
      <w:r>
        <w:t xml:space="preserve">plays a vital role in identifying skills gaps, analyzing the efficiency of public spending on education, and advising on immigration policies that attract talent while protecting local employment opportunities. In Kuwait City, universities and training centers are expanding their curricula to match market demands in fintech and green energy. The</w:t>
      </w:r>
      <w:r>
        <w:t xml:space="preserve"> </w:t>
      </w:r>
      <w:r>
        <w:rPr>
          <w:bCs/>
          <w:b/>
        </w:rPr>
        <w:t xml:space="preserve">Economist</w:t>
      </w:r>
      <w:r>
        <w:t xml:space="preserve"> </w:t>
      </w:r>
      <w:r>
        <w:t xml:space="preserve">must evaluate these initiatives to ensure they yield measurable economic returns.</w:t>
      </w:r>
    </w:p>
    <w:bookmarkEnd w:id="24"/>
    <w:bookmarkStart w:id="25" w:name="X051ede09875cedd9dde3919042c5115fbe7ba33"/>
    <w:p>
      <w:pPr>
        <w:pStyle w:val="Heading2"/>
      </w:pPr>
      <w:r>
        <w:t xml:space="preserve">5. Digital Transformation and FinTech in Kuwait City</w:t>
      </w:r>
    </w:p>
    <w:p>
      <w:pPr>
        <w:pStyle w:val="FirstParagraph"/>
      </w:pPr>
      <w:r>
        <w:t xml:space="preserve">The rise of digital finance is reshaping the economic landscape of Kuwait City. As a regional financial hub, Kuwait has been proactive in adopting blockchain technology, digital banking solutions, and regulatory sandboxes to foster innovation. The</w:t>
      </w:r>
      <w:r>
        <w:t xml:space="preserve"> </w:t>
      </w:r>
      <w:r>
        <w:rPr>
          <w:bCs/>
          <w:b/>
        </w:rPr>
        <w:t xml:space="preserve">Economist</w:t>
      </w:r>
      <w:r>
        <w:t xml:space="preserve"> </w:t>
      </w:r>
      <w:r>
        <w:t xml:space="preserve">must understand the implications of these technological shifts.</w:t>
      </w:r>
    </w:p>
    <w:p>
      <w:pPr>
        <w:pStyle w:val="BodyText"/>
      </w:pPr>
      <w:r>
        <w:t xml:space="preserve">Digital transformation can reduce transaction costs, increase financial inclusion, and improve the efficiency of government services. However, it also poses risks related to cybersecurity and data privacy. In Kuwait City, regulators are working closely with economists to create frameworks that encourage innovation while mitigating risk. This collaborative approach is essential for maintaining Kuwait City’s status as a competitive player in the global financial arena.</w:t>
      </w:r>
    </w:p>
    <w:bookmarkEnd w:id="25"/>
    <w:bookmarkStart w:id="26" w:name="sustainability-and-green-economics"/>
    <w:p>
      <w:pPr>
        <w:pStyle w:val="Heading2"/>
      </w:pPr>
      <w:r>
        <w:t xml:space="preserve">6. Sustainability and Green Economics</w:t>
      </w:r>
    </w:p>
    <w:p>
      <w:pPr>
        <w:pStyle w:val="FirstParagraph"/>
      </w:pPr>
      <w:r>
        <w:t xml:space="preserve">Global commitments to climate action are influencing policy in Kuwait City. The</w:t>
      </w:r>
      <w:r>
        <w:t xml:space="preserve"> </w:t>
      </w:r>
      <w:r>
        <w:rPr>
          <w:bCs/>
          <w:b/>
        </w:rPr>
        <w:t xml:space="preserve">Economist</w:t>
      </w:r>
      <w:r>
        <w:t xml:space="preserve"> </w:t>
      </w:r>
      <w:r>
        <w:t xml:space="preserve">must integrate environmental considerations into economic planning. This involves assessing the cost of carbon emissions, exploring renewable energy investments, and evaluating the potential for green bonds.</w:t>
      </w:r>
    </w:p>
    <w:p>
      <w:pPr>
        <w:pStyle w:val="BodyText"/>
      </w:pPr>
      <w:r>
        <w:t xml:space="preserve">Kuwait City is beginning to see sustainable architecture projects and green urban planning initiatives. These efforts require substantial capital investment and long-term economic modeling. The</w:t>
      </w:r>
      <w:r>
        <w:t xml:space="preserve"> </w:t>
      </w:r>
      <w:r>
        <w:rPr>
          <w:bCs/>
          <w:b/>
        </w:rPr>
        <w:t xml:space="preserve">Economist</w:t>
      </w:r>
      <w:r>
        <w:t xml:space="preserve"> </w:t>
      </w:r>
      <w:r>
        <w:t xml:space="preserve">is tasked with demonstrating that sustainability can be economically viable, not just environmentally necessary. This might involve calculating the long-term savings from energy-efficient buildings or projecting the growth of a local green tech sector.</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Economist</w:t>
      </w:r>
      <w:r>
        <w:t xml:space="preserve"> </w:t>
      </w:r>
      <w:r>
        <w:t xml:space="preserve">in Kuwait City is multifaceted and increasingly critical. It extends beyond traditional analysis to include strategic planning, institutional reform advocacy, and international positioning. As Kuwait City navigates the challenges of diversification, digitalization, and sustainability, the insights provided by rigorous economic research will be indispensable.</w:t>
      </w:r>
    </w:p>
    <w:p>
      <w:pPr>
        <w:pStyle w:val="BodyText"/>
      </w:pPr>
      <w:r>
        <w:t xml:space="preserve">We call for a renewed focus on policy-driven economics that is tailored to the unique context of Kuwait City. This involves fostering closer collaboration between academia, government bodies, and the private sector. By leveraging local data and global best practices, economists can help shape a resilient future for Kuwait. The success of Vision 2035 depends on our ability to adapt economic theories to real-world constraints while maintaining a forward-looking perspective.</w:t>
      </w:r>
    </w:p>
    <w:p>
      <w:pPr>
        <w:pStyle w:val="BodyText"/>
      </w:pPr>
      <w:r>
        <w:t xml:space="preserve">In conclusion, the</w:t>
      </w:r>
      <w:r>
        <w:t xml:space="preserve"> </w:t>
      </w:r>
      <w:r>
        <w:rPr>
          <w:bCs/>
          <w:b/>
        </w:rPr>
        <w:t xml:space="preserve">Economist</w:t>
      </w:r>
      <w:r>
        <w:t xml:space="preserve"> </w:t>
      </w:r>
      <w:r>
        <w:t xml:space="preserve">is not just an observer of Kuwait City’s economy but an active participant in its transformation. Through careful analysis and strategic advice, we can ensure that Kuwait City remains a vibrant center of trade and innovation for decades to come.</w:t>
      </w:r>
    </w:p>
    <w:bookmarkEnd w:id="27"/>
    <w:bookmarkStart w:id="28" w:name="references"/>
    <w:p>
      <w:pPr>
        <w:pStyle w:val="Heading2"/>
      </w:pPr>
      <w:r>
        <w:t xml:space="preserve">References</w:t>
      </w:r>
    </w:p>
    <w:p>
      <w:pPr>
        <w:numPr>
          <w:ilvl w:val="0"/>
          <w:numId w:val="1001"/>
        </w:numPr>
        <w:pStyle w:val="Compact"/>
      </w:pPr>
      <w:r>
        <w:t xml:space="preserve">Kuwait National Development Plan, Vision 2035 ("New Kuwait"). Ministry of Planning, State of Kuwait.</w:t>
      </w:r>
    </w:p>
    <w:p>
      <w:pPr>
        <w:numPr>
          <w:ilvl w:val="0"/>
          <w:numId w:val="1001"/>
        </w:numPr>
        <w:pStyle w:val="Compact"/>
      </w:pPr>
      <w:r>
        <w:t xml:space="preserve">Sovereign Wealth Fund Institute. (2023). "Kuwait Investment Authority: Global Portfolio Analysis."</w:t>
      </w:r>
    </w:p>
    <w:p>
      <w:pPr>
        <w:numPr>
          <w:ilvl w:val="0"/>
          <w:numId w:val="1001"/>
        </w:numPr>
        <w:pStyle w:val="Compact"/>
      </w:pPr>
      <w:r>
        <w:t xml:space="preserve">International Monetary Fund. (2024). "Kingdom of Bahrain and State of Kuwait: Article IV Consultation Reports."</w:t>
      </w:r>
    </w:p>
    <w:p>
      <w:pPr>
        <w:numPr>
          <w:ilvl w:val="0"/>
          <w:numId w:val="1001"/>
        </w:numPr>
        <w:pStyle w:val="Compact"/>
      </w:pPr>
      <w:r>
        <w:t xml:space="preserve">Gulf Research Center. (2023). "Diversifying the Gulf Economies: Challenges and Opportunities." Dubai.</w:t>
      </w:r>
    </w:p>
    <w:p>
      <w:pPr>
        <w:numPr>
          <w:ilvl w:val="0"/>
          <w:numId w:val="1001"/>
        </w:numPr>
        <w:pStyle w:val="Compact"/>
      </w:pPr>
      <w:r>
        <w:t xml:space="preserve">Central Bank of Kuwait. (2024). "Annual Statistical Bulletin: Banking Sector Performance."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Diversification: The Role of the Modern Economist in Kuwait City</dc:title>
  <dc:creator/>
  <dc:language>en</dc:language>
  <cp:keywords/>
  <dcterms:created xsi:type="dcterms:W3CDTF">2026-07-29T17:21:54Z</dcterms:created>
  <dcterms:modified xsi:type="dcterms:W3CDTF">2026-07-29T17:21:54Z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