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Gatekeeper:</w:t>
      </w:r>
      <w:r>
        <w:t xml:space="preserve"> </w:t>
      </w:r>
      <w:r>
        <w:t xml:space="preserve">Evolution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Canadian</w:t>
      </w:r>
      <w:r>
        <w:t xml:space="preserve"> </w:t>
      </w:r>
      <w:r>
        <w:t xml:space="preserve">Academic</w:t>
      </w:r>
      <w:r>
        <w:t xml:space="preserve"> </w:t>
      </w:r>
      <w:r>
        <w:t xml:space="preserve">Publishing</w:t>
      </w:r>
    </w:p>
    <w:bookmarkStart w:id="30" w:name="X1ac2917f32b045535fe3ffaa5a55ded090b2c88"/>
    <w:p>
      <w:pPr>
        <w:pStyle w:val="Heading1"/>
      </w:pPr>
      <w:r>
        <w:t xml:space="preserve">The Digital Gatekeeper: Evolution of the Editor in the Context of Canadian Academic Publishing</w:t>
      </w:r>
    </w:p>
    <w:p>
      <w:pPr>
        <w:pStyle w:val="FirstParagraph"/>
      </w:pPr>
      <w:r>
        <w:rPr>
          <w:iCs/>
          <w:i/>
          <w:bCs/>
          <w:b/>
        </w:rPr>
        <w:t xml:space="preserve">Alexander J. Sterling, PhD</w:t>
      </w:r>
      <w:r>
        <w:br/>
      </w:r>
      <w:r>
        <w:t xml:space="preserve">Department of Information Sciences</w:t>
      </w:r>
      <w:r>
        <w:br/>
      </w:r>
      <w:r>
        <w:t xml:space="preserve">University of Toronto, Toronto, Ontario, Canada</w:t>
      </w:r>
      <w:r>
        <w:br/>
      </w:r>
    </w:p>
    <w:p>
      <w:pPr>
        <w:pStyle w:val="BodyText"/>
      </w:pPr>
      <w:r>
        <w:t xml:space="preserve">Presented at the International Symposium on Scholarly Communication and Digital Humanities</w:t>
      </w:r>
    </w:p>
    <w:bookmarkStart w:id="20" w:name="abstract"/>
    <w:p>
      <w:pPr>
        <w:pStyle w:val="Heading2"/>
      </w:pPr>
      <w:r>
        <w:t xml:space="preserve">Abstract</w:t>
      </w:r>
    </w:p>
    <w:p>
      <w:pPr>
        <w:pStyle w:val="FirstParagraph"/>
      </w:pPr>
      <w:r>
        <w:t xml:space="preserve">The role of the editor has undergone a profound transformation in the twenty-first century. No longer merely a curator of language or a selector of manuscripts, the modern editor serves as a critical node in the global infrastructure of knowledge dissemination. This paper examines this evolution through two distinct yet interconnected lenses: technological disruption and regional specificity. By focusing on Canada Toronto as both a geographic hub for academic publishing and a symbolic center for multicultural scholarship, we argue that the editor must now navigate complex ethical landscapes involving artificial intelligence, open-access mandates, and cross-cultural translation. The Canadian context provides a unique case study due to its bilingual history and strong public funding model for research. We contend that future editorial frameworks in Canada Toronto must prioritize algorithmic transparency while maintaining rigorous human oversight.</w:t>
      </w:r>
    </w:p>
    <w:bookmarkEnd w:id="20"/>
    <w:bookmarkStart w:id="21" w:name="introduction"/>
    <w:p>
      <w:pPr>
        <w:pStyle w:val="Heading2"/>
      </w:pPr>
      <w:r>
        <w:t xml:space="preserve">1. Introduction</w:t>
      </w:r>
    </w:p>
    <w:p>
      <w:pPr>
        <w:pStyle w:val="FirstParagraph"/>
      </w:pPr>
      <w:r>
        <w:t xml:space="preserve">In the traditional academic ecosystem, the</w:t>
      </w:r>
      <w:r>
        <w:t xml:space="preserve"> </w:t>
      </w:r>
      <w:r>
        <w:rPr>
          <w:bCs/>
          <w:b/>
        </w:rPr>
        <w:t xml:space="preserve">Editor</w:t>
      </w:r>
      <w:r>
        <w:t xml:space="preserve"> </w:t>
      </w:r>
      <w:r>
        <w:t xml:space="preserve">was often viewed as a silent partner in the publication process—a final checkpoint ensuring coherence before dissemination. However, as we witness an exponential increase in research output worldwide, particularly within North American institutions located near major urban centers like Toronto, the responsibilities of this role have expanded dramatically. This paper explores how the identity of the editor is being reshaped by digital tools and societal expectations.</w:t>
      </w:r>
    </w:p>
    <w:p>
      <w:pPr>
        <w:pStyle w:val="BodyText"/>
      </w:pPr>
      <w:r>
        <w:t xml:space="preserve">Toronto stands out not only as Canada’s largest city but also as one of the most diverse metropolises on Earth. As a host for major publishing houses, university presses, and research institutes, Toronto represents a microcosm of global scholarly challenges. The concept of the</w:t>
      </w:r>
      <w:r>
        <w:t xml:space="preserve"> </w:t>
      </w:r>
      <w:r>
        <w:rPr>
          <w:bCs/>
          <w:b/>
        </w:rPr>
        <w:t xml:space="preserve">Conference Paper</w:t>
      </w:r>
      <w:r>
        <w:t xml:space="preserve"> </w:t>
      </w:r>
      <w:r>
        <w:t xml:space="preserve">itself is evolving; it is no longer just a summary of finished work but often serves as the precursor to open dialogue regarding these very editorial shifts. By analyzing trends in this specific locale, we can derive broader insights applicable to international publishing standards.</w:t>
      </w:r>
    </w:p>
    <w:bookmarkEnd w:id="21"/>
    <w:bookmarkStart w:id="22" w:name="X2bfe869408ac8dac0c29e6c186f17922270e6e6"/>
    <w:p>
      <w:pPr>
        <w:pStyle w:val="Heading2"/>
      </w:pPr>
      <w:r>
        <w:t xml:space="preserve">2. The Technological Shift: AI and Automation</w:t>
      </w:r>
    </w:p>
    <w:p>
      <w:pPr>
        <w:pStyle w:val="FirstParagraph"/>
      </w:pPr>
      <w:r>
        <w:t xml:space="preserve">The most significant pressure facing today’s editor comes from the integration of Artificial Intelligence (AI). In modern publishing workflows, automated plagiarism detection systems, grammar checkers, and even preliminary peer-review matching algorithms are becoming standard. While these tools increase efficiency, they raise critical questions about objectivity and bias.</w:t>
      </w:r>
    </w:p>
    <w:p>
      <w:pPr>
        <w:pStyle w:val="BodyText"/>
      </w:pPr>
      <w:r>
        <w:t xml:space="preserve">In the context of a</w:t>
      </w:r>
      <w:r>
        <w:t xml:space="preserve"> </w:t>
      </w:r>
      <w:r>
        <w:rPr>
          <w:bCs/>
          <w:b/>
        </w:rPr>
        <w:t xml:space="preserve">Conference Paper</w:t>
      </w:r>
      <w:r>
        <w:t xml:space="preserve"> </w:t>
      </w:r>
      <w:r>
        <w:t xml:space="preserve">presented in Toronto, it is vital to acknowledge that AI models are often trained on English-dominant datasets. This creates a linguistic disadvantage for non-native speakers, many of whom reside in Canada’s vibrant immigrant communities. The editor must therefore act as a cultural bridge, ensuring that technological efficiency does not come at the cost of equitable representation. The "black box" nature of some AI decision-making tools requires editors to possess digital literacy skills that were previously unnecessary.</w:t>
      </w:r>
    </w:p>
    <w:bookmarkEnd w:id="22"/>
    <w:bookmarkStart w:id="23" w:name="Xd5530e77199b4dc27aaa571190efffdfc47f365"/>
    <w:p>
      <w:pPr>
        <w:pStyle w:val="Heading2"/>
      </w:pPr>
      <w:r>
        <w:t xml:space="preserve">3. The Canadian Context: Bilingualism and Multiculturalism</w:t>
      </w:r>
    </w:p>
    <w:p>
      <w:pPr>
        <w:pStyle w:val="FirstParagraph"/>
      </w:pPr>
      <w:r>
        <w:t xml:space="preserve">Canada has long grappled with its dual-language heritage (English and French). However, in a city like Toronto, the linguistic reality is far more complex. The editor today must contend with a multitude of voices and dialects. Research indicates that manuscripts from diverse cultural backgrounds often face higher rejection rates due to stylistic differences rather than substantive flaws.</w:t>
      </w:r>
    </w:p>
    <w:p>
      <w:pPr>
        <w:pStyle w:val="BodyText"/>
      </w:pPr>
      <w:r>
        <w:t xml:space="preserve">An effective</w:t>
      </w:r>
      <w:r>
        <w:t xml:space="preserve"> </w:t>
      </w:r>
      <w:r>
        <w:rPr>
          <w:bCs/>
          <w:b/>
        </w:rPr>
        <w:t xml:space="preserve">Editor</w:t>
      </w:r>
      <w:r>
        <w:t xml:space="preserve"> </w:t>
      </w:r>
      <w:r>
        <w:t xml:space="preserve">in this environment cannot rely solely on standard grammatical rules. They must possess "cultural competence," understanding that rhetorical structures vary across cultures. For instance, direct argumentation styles common in American academia may differ from the indirect, contextual approaches found in some Asian or Indigenous scholarship. Editors based in Toronto are uniquely positioned to mediate these differences, fostering a more inclusive scholarly community.</w:t>
      </w:r>
    </w:p>
    <w:bookmarkEnd w:id="23"/>
    <w:bookmarkStart w:id="24" w:name="open-access-and-ethical-responsibility"/>
    <w:p>
      <w:pPr>
        <w:pStyle w:val="Heading2"/>
      </w:pPr>
      <w:r>
        <w:t xml:space="preserve">4. Open Access and Ethical Responsibility</w:t>
      </w:r>
    </w:p>
    <w:p>
      <w:pPr>
        <w:pStyle w:val="FirstParagraph"/>
      </w:pPr>
      <w:r>
        <w:t xml:space="preserve">The push for Open Access (OA) has democratized knowledge but also introduced new ethical dilemmas regarding sustainability and quality control. In Canada, government bodies such as the Social Sciences and Humanities Research Council (SSHRC) have been instrumental in promoting OA policies. The editor is now responsible for verifying that journals adhere to these standards while avoiding predatory publishing practices.</w:t>
      </w:r>
    </w:p>
    <w:p>
      <w:pPr>
        <w:pStyle w:val="BodyText"/>
      </w:pPr>
      <w:r>
        <w:t xml:space="preserve">When preparing a</w:t>
      </w:r>
      <w:r>
        <w:t xml:space="preserve"> </w:t>
      </w:r>
      <w:r>
        <w:rPr>
          <w:bCs/>
          <w:b/>
        </w:rPr>
        <w:t xml:space="preserve">Conference Paper</w:t>
      </w:r>
      <w:r>
        <w:t xml:space="preserve">, authors are increasingly expected to pre-register their studies or share raw data. The editor plays a crucial role in facilitating this transparency without compromising intellectual property rights. In Toronto, where privacy laws like PIPLFF (Personal Information Protection and Electronic Documents Act) are strict, editors must also ensure that human subjects' data is handled with the utmost care during the review process.</w:t>
      </w:r>
    </w:p>
    <w:bookmarkEnd w:id="24"/>
    <w:bookmarkStart w:id="25" w:name="the-role-of-the-editor-in-peer-review"/>
    <w:p>
      <w:pPr>
        <w:pStyle w:val="Heading2"/>
      </w:pPr>
      <w:r>
        <w:t xml:space="preserve">5. The Role of the Editor in Peer Review</w:t>
      </w:r>
    </w:p>
    <w:p>
      <w:pPr>
        <w:pStyle w:val="FirstParagraph"/>
      </w:pPr>
      <w:r>
        <w:t xml:space="preserve">The peer-review system is often described as "the longest shortest time" in science. Editors are under immense pressure to reduce turnaround times. However, rushing reviews can lead to errors. The modern editor must balance speed with rigor.</w:t>
      </w:r>
    </w:p>
    <w:p>
      <w:pPr>
        <w:pStyle w:val="BodyText"/>
      </w:pPr>
      <w:r>
        <w:t xml:space="preserve">We propose a "hybrid review model" for conferences and journals operating in hubs like Toronto. This model combines AI-assisted preliminary screening with deep, human-centric peer review focused on novelty and ethical implications. By offloading routine checks to software, editors can devote more time to assessing the broader societal impact of the research—a key criterion in Canadian grant funding applications.</w:t>
      </w:r>
    </w:p>
    <w:bookmarkEnd w:id="25"/>
    <w:bookmarkStart w:id="26" w:name="challenges-facing-modern-editors"/>
    <w:p>
      <w:pPr>
        <w:pStyle w:val="Heading2"/>
      </w:pPr>
      <w:r>
        <w:t xml:space="preserve">6. Challenges Facing Modern Editors</w:t>
      </w:r>
    </w:p>
    <w:p>
      <w:pPr>
        <w:pStyle w:val="FirstParagraph"/>
      </w:pPr>
      <w:r>
        <w:rPr>
          <w:bCs/>
          <w:b/>
        </w:rPr>
        <w:t xml:space="preserve">a) Burnout and Labor Issues:</w:t>
      </w:r>
      <w:r>
        <w:t xml:space="preserve"> </w:t>
      </w:r>
      <w:r>
        <w:t xml:space="preserve">The administrative burden on editors has grown significantly. Many academic journals rely on volunteer editors who are already overworked faculty members. Sustainable models for compensating editorial labor are needed.</w:t>
      </w:r>
    </w:p>
    <w:p>
      <w:pPr>
        <w:pStyle w:val="BodyText"/>
      </w:pPr>
      <w:r>
        <w:rPr>
          <w:bCs/>
          <w:b/>
        </w:rPr>
        <w:t xml:space="preserve">b) Algorithmic Bias:</w:t>
      </w:r>
      <w:r>
        <w:t xml:space="preserve"> </w:t>
      </w:r>
      <w:r>
        <w:t xml:space="preserve">As mentioned, AI tools can perpetuate existing biases. Editors must be vigilant in auditing these tools to ensure fairness.</w:t>
      </w:r>
    </w:p>
    <w:p>
      <w:pPr>
        <w:pStyle w:val="BodyText"/>
      </w:pPr>
      <w:r>
        <w:rPr>
          <w:bCs/>
          <w:b/>
        </w:rPr>
        <w:t xml:space="preserve">c) Global vs. Local Tensions:</w:t>
      </w:r>
      <w:r>
        <w:t xml:space="preserve"> </w:t>
      </w:r>
      <w:r>
        <w:t xml:space="preserve">International journals often impose Western-centric standards on global research. Editors in multicultural cities like Toronto must advocate for pluralistic perspectives without diluting scientific rigor.</w:t>
      </w:r>
    </w:p>
    <w:bookmarkEnd w:id="26"/>
    <w:bookmarkStart w:id="27" w:name="recommendations-for-the-future"/>
    <w:p>
      <w:pPr>
        <w:pStyle w:val="Heading2"/>
      </w:pPr>
      <w:r>
        <w:t xml:space="preserve">7. Recommendations for the Future</w:t>
      </w:r>
    </w:p>
    <w:p>
      <w:pPr>
        <w:pStyle w:val="FirstParagraph"/>
      </w:pPr>
      <w:r>
        <w:t xml:space="preserve">To address these challenges, we suggest the following actions for institutions and publishers in Canada Toronto:</w:t>
      </w:r>
    </w:p>
    <w:p>
      <w:pPr>
        <w:numPr>
          <w:ilvl w:val="0"/>
          <w:numId w:val="1001"/>
        </w:numPr>
        <w:pStyle w:val="Compact"/>
      </w:pPr>
      <w:r>
        <w:rPr>
          <w:bCs/>
          <w:b/>
        </w:rPr>
        <w:t xml:space="preserve">Digital Training:</w:t>
      </w:r>
      <w:r>
        <w:t xml:space="preserve"> </w:t>
      </w:r>
      <w:r>
        <w:t xml:space="preserve">Provide comprehensive training for editors on AI tools, data privacy laws, and cultural competency.</w:t>
      </w:r>
    </w:p>
    <w:p>
      <w:pPr>
        <w:numPr>
          <w:ilvl w:val="0"/>
          <w:numId w:val="1001"/>
        </w:numPr>
        <w:pStyle w:val="Compact"/>
      </w:pPr>
      <w:r>
        <w:rPr>
          <w:bCs/>
          <w:b/>
        </w:rPr>
        <w:t xml:space="preserve">Diverse Editorial Boards:</w:t>
      </w:r>
      <w:r>
        <w:t xml:space="preserve"> </w:t>
      </w:r>
      <w:r>
        <w:t xml:space="preserve">Actively recruit editors from varied backgrounds to mitigate unconscious bias in the selection process.</w:t>
      </w:r>
    </w:p>
    <w:p>
      <w:pPr>
        <w:numPr>
          <w:ilvl w:val="0"/>
          <w:numId w:val="1001"/>
        </w:numPr>
        <w:pStyle w:val="Compact"/>
      </w:pPr>
      <w:r>
        <w:rPr>
          <w:bCs/>
          <w:b/>
        </w:rPr>
        <w:t xml:space="preserve">Sustainable Funding Models:</w:t>
      </w:r>
      <w:r>
        <w:t xml:space="preserve">: Advocate for institutional support that recognizes editorial work as significant academic contribution, worthy of tenure and promotion consideration.</w:t>
      </w:r>
    </w:p>
    <w:bookmarkEnd w:id="27"/>
    <w:bookmarkStart w:id="28" w:name="conclusion"/>
    <w:p>
      <w:pPr>
        <w:pStyle w:val="Heading2"/>
      </w:pPr>
      <w:r>
        <w:t xml:space="preserve">8. Conclusion</w:t>
      </w:r>
    </w:p>
    <w:p>
      <w:pPr>
        <w:pStyle w:val="FirstParagraph"/>
      </w:pPr>
      <w:r>
        <w:t xml:space="preserve">The editor of the future is not a passive gatekeeper but an active architect of knowledge integrity. In the vibrant academic landscape of Canada Toronto, this role is particularly pivotal due to the city’s diversity and its status as a research hub. Whether drafting a</w:t>
      </w:r>
      <w:r>
        <w:t xml:space="preserve"> </w:t>
      </w:r>
      <w:r>
        <w:rPr>
          <w:bCs/>
          <w:b/>
        </w:rPr>
        <w:t xml:space="preserve">Conference Paper</w:t>
      </w:r>
      <w:r>
        <w:t xml:space="preserve"> </w:t>
      </w:r>
      <w:r>
        <w:t xml:space="preserve">or managing daily journal operations, editors must harness technology while upholding humanistic values. As we move forward, the success of scholarly communication will depend on our ability to create systems that are efficient, equitable, and inclusive. The editor remains central to this mission.</w:t>
      </w:r>
    </w:p>
    <w:bookmarkEnd w:id="28"/>
    <w:bookmarkStart w:id="29" w:name="references"/>
    <w:p>
      <w:pPr>
        <w:pStyle w:val="Heading2"/>
      </w:pPr>
      <w:r>
        <w:t xml:space="preserve">References</w:t>
      </w:r>
    </w:p>
    <w:p>
      <w:pPr>
        <w:numPr>
          <w:ilvl w:val="0"/>
          <w:numId w:val="1002"/>
        </w:numPr>
        <w:pStyle w:val="Compact"/>
      </w:pPr>
      <w:r>
        <w:t xml:space="preserve">Brown, T., &amp; Smith, J. (2023). *AI in Academic Publishing: Ethics and Efficiency*. Journal of Digital Humanities.</w:t>
      </w:r>
    </w:p>
    <w:p>
      <w:pPr>
        <w:numPr>
          <w:ilvl w:val="0"/>
          <w:numId w:val="1002"/>
        </w:numPr>
        <w:pStyle w:val="Compact"/>
      </w:pPr>
      <w:r>
        <w:t xml:space="preserve">Council of Canadian Academies. (2021). *The Future of Scholarly Communication in Canada.* Ottawa: CCA Press.</w:t>
      </w:r>
    </w:p>
    <w:p>
      <w:pPr>
        <w:numPr>
          <w:ilvl w:val="0"/>
          <w:numId w:val="1002"/>
        </w:numPr>
        <w:pStyle w:val="Compact"/>
      </w:pPr>
      <w:r>
        <w:t xml:space="preserve">Davis, L. (2022). *Multiculturalism and the Peer Review Process*. Toronto Academic Review, 45(3), 112-130.</w:t>
      </w:r>
    </w:p>
    <w:p>
      <w:pPr>
        <w:numPr>
          <w:ilvl w:val="0"/>
          <w:numId w:val="1002"/>
        </w:numPr>
        <w:pStyle w:val="Compact"/>
      </w:pPr>
      <w:r>
        <w:t xml:space="preserve">Garcia, M. (2024). *Open Access Mandates in North America: A Comparative Study*. Canadian Journal of Research Policy.</w:t>
      </w:r>
    </w:p>
    <w:p>
      <w:pPr>
        <w:numPr>
          <w:ilvl w:val="0"/>
          <w:numId w:val="1002"/>
        </w:numPr>
        <w:pStyle w:val="Compact"/>
      </w:pPr>
      <w:r>
        <w:t xml:space="preserve">Williams, K. (2023). *The Burnout Epidemic Among Academic Editors*. Higher Education Quarterly.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Gatekeeper: Evolution of the Editor in the Context of Canadian Academic Publishing</dc:title>
  <dc:creator/>
  <dc:language>en</dc:language>
  <cp:keywords/>
  <dcterms:created xsi:type="dcterms:W3CDTF">2026-07-29T07:37:59Z</dcterms:created>
  <dcterms:modified xsi:type="dcterms:W3CDTF">2026-07-29T07:37:59Z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