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5" w:name="Xd7ffdaa3d181c050cb6ddf41d530730b0e1dfe1"/>
    <w:p>
      <w:pPr>
        <w:pStyle w:val="Heading1"/>
      </w:pPr>
      <w:r>
        <w:t xml:space="preserve">Bridging Tradition and Innovation:</w:t>
      </w:r>
      <w:r>
        <w:br/>
      </w:r>
      <w:r>
        <w:t xml:space="preserve">The Evolving Role of the Editor in Academic Publishing</w:t>
      </w:r>
    </w:p>
    <w:bookmarkStart w:id="20" w:name="Xe77677043aa6d20d69e2dc2c95a9f1625c171a7"/>
    <w:p>
      <w:pPr>
        <w:pStyle w:val="Heading3"/>
      </w:pPr>
      <w:r>
        <w:t xml:space="preserve">A Focus on Academic Development in Kuwait City, Kuwait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Kuwait City, State of Kuwait</w:t>
      </w:r>
      <w:r>
        <w:br/>
      </w:r>
    </w:p>
    <w:p>
      <w:pPr>
        <w:pStyle w:val="BodyText"/>
      </w:pPr>
      <w:r>
        <w:br/>
      </w:r>
    </w:p>
    <w:p>
      <w:r>
        <w:pict>
          <v:rect style="width:0;height:1.5pt" o:hralign="center" o:hrstd="t" o:hr="t"/>
        </w:pict>
      </w:r>
    </w:p>
    <w:p>
      <w:pPr>
        <w:pStyle w:val="FirstParagraph"/>
      </w:pPr>
      <w:r>
        <w:br/>
      </w:r>
      <w:r>
        <w:t xml:space="preserve">&gt;</w:t>
      </w:r>
    </w:p>
    <w:bookmarkEnd w:id="20"/>
    <w:bookmarkStart w:id="21" w:name="abstract"/>
    <w:p>
      <w:pPr>
        <w:pStyle w:val="Heading2"/>
      </w:pPr>
      <w:r>
        <w:t xml:space="preserve">Abstract</w:t>
      </w:r>
    </w:p>
    <w:p>
      <w:pPr>
        <w:pStyle w:val="FirstParagraph"/>
      </w:pPr>
      <w:r>
        <w:t xml:space="preserve">The landscape of academic publishing is undergoing a profound transformation driven by digitalization, open-access mandates, and the increasing demand for interdisciplinary research. In this context, the role of the</w:t>
      </w:r>
      <w:r>
        <w:t xml:space="preserve"> </w:t>
      </w:r>
      <w:r>
        <w:rPr>
          <w:bCs/>
          <w:b/>
        </w:rPr>
        <w:t xml:space="preserve">Editor</w:t>
      </w:r>
      <w:r>
        <w:t xml:space="preserve"> </w:t>
      </w:r>
      <w:r>
        <w:t xml:space="preserve">has shifted from a mere gatekeeper of quality to a strategic facilitator of knowledge dissemination. This paper examines the critical functions of editorial leadership within emerging academic hubs in the Middle East, with a specific focus on</w:t>
      </w:r>
      <w:r>
        <w:t xml:space="preserve"> </w:t>
      </w:r>
      <w:r>
        <w:rPr>
          <w:bCs/>
          <w:b/>
        </w:rPr>
        <w:t xml:space="preserve">Kuwait City</w:t>
      </w:r>
      <w:r>
        <w:t xml:space="preserve">, Kuwait. As Kuwait aggressively pursues its "New Kuwait" vision (Vision 2035), which emphasizes knowledge-based economic development, universities and research institutions in</w:t>
      </w:r>
      <w:r>
        <w:t xml:space="preserve"> </w:t>
      </w:r>
      <w:r>
        <w:rPr>
          <w:bCs/>
          <w:b/>
        </w:rPr>
        <w:t xml:space="preserve">Kuwait City</w:t>
      </w:r>
      <w:r>
        <w:t xml:space="preserve"> </w:t>
      </w:r>
      <w:r>
        <w:t xml:space="preserve">are expanding their publication outputs. This paper argues that the modern</w:t>
      </w:r>
      <w:r>
        <w:t xml:space="preserve"> </w:t>
      </w:r>
      <w:r>
        <w:rPr>
          <w:iCs/>
          <w:i/>
        </w:rPr>
        <w:t xml:space="preserve">Editor</w:t>
      </w:r>
      <w:r>
        <w:t xml:space="preserve"> </w:t>
      </w:r>
      <w:r>
        <w:t xml:space="preserve">must possess a nuanced understanding of both global scientific standards and local cultural contexts to effectively mentor researchers, ensure ethical compliance, and enhance the international visibility of works produced in this dynamic region.</w:t>
      </w:r>
    </w:p>
    <w:p>
      <w:pPr>
        <w:pStyle w:val="BodyText"/>
      </w:pPr>
      <w:r>
        <w:rPr>
          <w:bCs/>
          <w:b/>
        </w:rPr>
        <w:t xml:space="preserve">Keywords:</w:t>
      </w:r>
      <w:r>
        <w:t xml:space="preserve"> </w:t>
      </w:r>
      <w:r>
        <w:t xml:space="preserve">Academic Publishing, Editor Role, Kuwait City Research Output, Vision 2035, Editorial Ethics.</w:t>
      </w:r>
    </w:p>
    <w:bookmarkEnd w:id="21"/>
    <w:p>
      <w:r>
        <w:pict>
          <v:rect style="width:0;height:1.5pt" o:hralign="center" o:hrstd="t" o:hr="t"/>
        </w:pict>
      </w:r>
    </w:p>
    <w:p>
      <w:pPr>
        <w:pStyle w:val="FirstParagraph"/>
      </w:pPr>
      <w:r>
        <w:br/>
      </w:r>
      <w:r>
        <w:t xml:space="preserve">&gt;</w:t>
      </w:r>
    </w:p>
    <w:bookmarkStart w:id="22" w:name="introduction"/>
    <w:p>
      <w:pPr>
        <w:pStyle w:val="Heading2"/>
      </w:pPr>
      <w:r>
        <w:t xml:space="preserve">1. Introduction</w:t>
      </w:r>
    </w:p>
    <w:p>
      <w:pPr>
        <w:pStyle w:val="FirstParagraph"/>
      </w:pPr>
      <w:r>
        <w:t xml:space="preserve">The academic publishing ecosystem is no longer defined solely by the transmission of data; it is now a complex network involving curation, promotion, and ethical oversight. Central to this network is the</w:t>
      </w:r>
      <w:r>
        <w:t xml:space="preserve"> </w:t>
      </w:r>
      <w:r>
        <w:rPr>
          <w:bCs/>
          <w:b/>
        </w:rPr>
        <w:t xml:space="preserve">Editor</w:t>
      </w:r>
      <w:r>
        <w:t xml:space="preserve">. Traditionally viewed as an arbiter who decides whether a manuscript meets basic standards for publication, the contemporary</w:t>
      </w:r>
      <w:r>
        <w:t xml:space="preserve"> </w:t>
      </w:r>
      <w:r>
        <w:rPr>
          <w:iCs/>
          <w:i/>
        </w:rPr>
        <w:t xml:space="preserve">Editor</w:t>
      </w:r>
      <w:r>
        <w:t xml:space="preserve"> </w:t>
      </w:r>
      <w:r>
        <w:t xml:space="preserve">is expected to be a mentor, a strategist, and often a diplomat within the scientific community. This shift is particularly palpable in regions where academic infrastructure is rapidly modernizing.</w:t>
      </w:r>
    </w:p>
    <w:p>
      <w:pPr>
        <w:pStyle w:val="BodyText"/>
      </w:pPr>
      <w:r>
        <w:t xml:space="preserve">Kuwait City serves as a prime case study for this evolution. As the capital of Kuwait,</w:t>
      </w:r>
      <w:r>
        <w:t xml:space="preserve"> </w:t>
      </w:r>
      <w:r>
        <w:rPr>
          <w:bCs/>
          <w:b/>
        </w:rPr>
        <w:t xml:space="preserve">Kuwait City</w:t>
      </w:r>
      <w:r>
        <w:t xml:space="preserve"> </w:t>
      </w:r>
      <w:r>
        <w:t xml:space="preserve">houses the nation's premier universities, including Kuwait University and American University of Kuwait, alongside numerous research institutes. Under the guidance of "Vision 2035," also known as "The New Kuwait," there is a state-driven imperative to transition from an oil-dependent economy to a knowledge-based society. This macro-economic shift has resulted in a surge of research activities within</w:t>
      </w:r>
      <w:r>
        <w:t xml:space="preserve"> </w:t>
      </w:r>
      <w:r>
        <w:rPr>
          <w:bCs/>
          <w:b/>
        </w:rPr>
        <w:t xml:space="preserve">Kuwait City</w:t>
      </w:r>
      <w:r>
        <w:t xml:space="preserve">. Consequently, the professionals tasked with refining and validating this research—the Editors—face unique challenges and opportunities that differ significantly from those in established Western academic centers.</w:t>
      </w:r>
    </w:p>
    <w:bookmarkEnd w:id="22"/>
    <w:bookmarkStart w:id="26" w:name="X51c2f90ca6afd0dab5ced9ff49e49329be0a4a9"/>
    <w:p>
      <w:pPr>
        <w:pStyle w:val="Heading2"/>
      </w:pPr>
      <w:r>
        <w:t xml:space="preserve">2. The Multifaceted Role of the Modern Editor</w:t>
      </w:r>
    </w:p>
    <w:p>
      <w:pPr>
        <w:pStyle w:val="FirstParagraph"/>
      </w:pPr>
      <w:r>
        <w:t xml:space="preserve">To understand the specific context of</w:t>
      </w:r>
      <w:r>
        <w:t xml:space="preserve"> </w:t>
      </w:r>
      <w:r>
        <w:rPr>
          <w:bCs/>
          <w:b/>
        </w:rPr>
        <w:t xml:space="preserve">Kuwait City</w:t>
      </w:r>
      <w:r>
        <w:t xml:space="preserve">, one must first define the expanded scope of the Editorial role in modern publishing. The contemporary</w:t>
      </w:r>
      <w:r>
        <w:t xml:space="preserve"> </w:t>
      </w:r>
      <w:r>
        <w:rPr>
          <w:iCs/>
          <w:i/>
        </w:rPr>
        <w:t xml:space="preserve">Editor</w:t>
      </w:r>
      <w:r>
        <w:t xml:space="preserve"> </w:t>
      </w:r>
      <w:r>
        <w:t xml:space="preserve">operates across three distinct planes: technical, ethical, and strategic.</w:t>
      </w:r>
    </w:p>
    <w:bookmarkStart w:id="23" w:name="X495c0881513230689f521ea574fa16db957e585"/>
    <w:p>
      <w:pPr>
        <w:pStyle w:val="Heading3"/>
      </w:pPr>
      <w:r>
        <w:t xml:space="preserve">2.1 Technical Rigor and Methodological Scrutiny</w:t>
      </w:r>
    </w:p>
    <w:p>
      <w:pPr>
        <w:pStyle w:val="FirstParagraph"/>
      </w:pPr>
      <w:r>
        <w:t xml:space="preserve">The primary duty of any</w:t>
      </w:r>
      <w:r>
        <w:t xml:space="preserve"> </w:t>
      </w:r>
      <w:r>
        <w:rPr>
          <w:bCs/>
          <w:b/>
        </w:rPr>
        <w:t xml:space="preserve">Editor</w:t>
      </w:r>
      <w:r>
        <w:t xml:space="preserve">, regardless of location, is to ensure methodological soundness. In the context of</w:t>
      </w:r>
      <w:r>
        <w:t xml:space="preserve"> </w:t>
      </w:r>
      <w:r>
        <w:rPr>
          <w:bCs/>
          <w:b/>
        </w:rPr>
        <w:t xml:space="preserve">Kuwait City’s</w:t>
      </w:r>
      <w:r>
        <w:t xml:space="preserve"> </w:t>
      </w:r>
      <w:r>
        <w:t xml:space="preserve">growing research output, which spans environmental science (critical given the region's climate challenges), biotechnology, and Islamic finance law, editors must possess specialized knowledge or access to appropriate peer reviewers. The</w:t>
      </w:r>
      <w:r>
        <w:t xml:space="preserve"> </w:t>
      </w:r>
      <w:r>
        <w:rPr>
          <w:iCs/>
          <w:i/>
        </w:rPr>
        <w:t xml:space="preserve">Editor</w:t>
      </w:r>
      <w:r>
        <w:t xml:space="preserve"> </w:t>
      </w:r>
      <w:r>
        <w:t xml:space="preserve">acts as a filter against pseudoscience while encouraging innovative methodological approaches that may be novel to the regional academic community but are essential for global competitiveness.</w:t>
      </w:r>
    </w:p>
    <w:bookmarkEnd w:id="23"/>
    <w:bookmarkStart w:id="24" w:name="ethical-stewardship"/>
    <w:p>
      <w:pPr>
        <w:pStyle w:val="Heading3"/>
      </w:pPr>
      <w:r>
        <w:t xml:space="preserve">2.2 Ethical Stewardship</w:t>
      </w:r>
    </w:p>
    <w:p>
      <w:pPr>
        <w:pStyle w:val="FirstParagraph"/>
      </w:pPr>
      <w:r>
        <w:t xml:space="preserve">Ethics remain the bedrock of publishing. Editors must vigilantly guard against plagiarism, data fabrication, and conflicts of interest. In</w:t>
      </w:r>
      <w:r>
        <w:t xml:space="preserve"> </w:t>
      </w:r>
      <w:r>
        <w:rPr>
          <w:bCs/>
          <w:b/>
        </w:rPr>
        <w:t xml:space="preserve">Kuwait City</w:t>
      </w:r>
      <w:r>
        <w:t xml:space="preserve">, where collaborative research between local institutions and international partners is on the rise, ethical navigation becomes complex. The</w:t>
      </w:r>
      <w:r>
        <w:t xml:space="preserve"> </w:t>
      </w:r>
      <w:r>
        <w:rPr>
          <w:iCs/>
          <w:i/>
        </w:rPr>
        <w:t xml:space="preserve">Editor</w:t>
      </w:r>
      <w:r>
        <w:t xml:space="preserve"> </w:t>
      </w:r>
      <w:r>
        <w:t xml:space="preserve">must be adept at interpreting international ethical guidelines (such as those from COPE - Committee on Publication Ethics) while respecting local cultural nuances regarding authorship and intellectual property.</w:t>
      </w:r>
    </w:p>
    <w:bookmarkEnd w:id="24"/>
    <w:bookmarkStart w:id="25" w:name="strategic-mentorship"/>
    <w:p>
      <w:pPr>
        <w:pStyle w:val="Heading3"/>
      </w:pPr>
      <w:r>
        <w:t xml:space="preserve">2.3 Strategic Mentorship</w:t>
      </w:r>
    </w:p>
    <w:p>
      <w:pPr>
        <w:pStyle w:val="FirstParagraph"/>
      </w:pPr>
      <w:r>
        <w:t xml:space="preserve">Editor's role is that of a mentor. Many researchers in emerging academic hubs may be brilliant scientists but lack experience in navigating the intricate language and structure requirements of high-impact international journals. The</w:t>
      </w:r>
      <w:r>
        <w:t xml:space="preserve"> </w:t>
      </w:r>
      <w:r>
        <w:rPr>
          <w:iCs/>
          <w:i/>
        </w:rPr>
        <w:t xml:space="preserve">Editor</w:t>
      </w:r>
      <w:r>
        <w:t xml:space="preserve"> </w:t>
      </w:r>
      <w:r>
        <w:t xml:space="preserve">provides constructive feedback, guiding authors from</w:t>
      </w:r>
      <w:r>
        <w:t xml:space="preserve"> </w:t>
      </w:r>
      <w:r>
        <w:rPr>
          <w:bCs/>
          <w:b/>
        </w:rPr>
        <w:t xml:space="preserve">Kuwait City</w:t>
      </w:r>
      <w:r>
        <w:t xml:space="preserve">-based institutions on how to frame their narratives for a global audience without diluting the significance of local research questions.</w:t>
      </w:r>
    </w:p>
    <w:p>
      <w:r>
        <w:pict>
          <v:rect style="width:0;height:1.5pt" o:hralign="center" o:hrstd="t" o:hr="t"/>
        </w:pict>
      </w:r>
    </w:p>
    <w:p>
      <w:pPr>
        <w:pStyle w:val="FirstParagraph"/>
      </w:pPr>
      <w:r>
        <w:br/>
      </w:r>
      <w:r>
        <w:t xml:space="preserve">&gt;</w:t>
      </w:r>
    </w:p>
    <w:bookmarkEnd w:id="25"/>
    <w:bookmarkEnd w:id="26"/>
    <w:bookmarkStart w:id="30" w:name="Xf7242c78a11f04c88e7fbb1dcaca41b8488e795"/>
    <w:p>
      <w:pPr>
        <w:pStyle w:val="Heading2"/>
      </w:pPr>
      <w:r>
        <w:t xml:space="preserve">3. Contextual Analysis: Publishing Dynamics in Kuwait City</w:t>
      </w:r>
    </w:p>
    <w:p>
      <w:pPr>
        <w:pStyle w:val="FirstParagraph"/>
      </w:pPr>
      <w:r>
        <w:t xml:space="preserve">The academic environment in</w:t>
      </w:r>
      <w:r>
        <w:t xml:space="preserve"> </w:t>
      </w:r>
      <w:r>
        <w:rPr>
          <w:bCs/>
          <w:b/>
        </w:rPr>
        <w:t xml:space="preserve">Kuwait City</w:t>
      </w:r>
      <w:r>
        <w:t xml:space="preserve"> </w:t>
      </w:r>
      <w:r>
        <w:t xml:space="preserve">presents specific characteristics that influence editorial decisions and workflows. Understanding these dynamics is crucial for any</w:t>
      </w:r>
      <w:r>
        <w:t xml:space="preserve"> </w:t>
      </w:r>
      <w:r>
        <w:rPr>
          <w:iCs/>
          <w:i/>
        </w:rPr>
        <w:t xml:space="preserve">Editor</w:t>
      </w:r>
      <w:r>
        <w:t xml:space="preserve"> </w:t>
      </w:r>
      <w:r>
        <w:t xml:space="preserve">working with or targeting this region.</w:t>
      </w:r>
    </w:p>
    <w:bookmarkStart w:id="27" w:name="Xe415a63ee6541a5fa672300fe2dd54562e37434"/>
    <w:p>
      <w:pPr>
        <w:pStyle w:val="Heading3"/>
      </w:pPr>
      <w:r>
        <w:t xml:space="preserve">3.1 The Language Barrier and English Proficiency</w:t>
      </w:r>
    </w:p>
    <w:p>
      <w:pPr>
        <w:pStyle w:val="FirstParagraph"/>
      </w:pPr>
      <w:r>
        <w:br/>
      </w:r>
      <w:r>
        <w:t xml:space="preserve">&gt;</w:t>
      </w:r>
    </w:p>
    <w:p>
      <w:pPr>
        <w:pStyle w:val="BodyText"/>
      </w:pPr>
      <w:r>
        <w:t xml:space="preserve">A significant hurdle for many researchers in</w:t>
      </w:r>
      <w:r>
        <w:t xml:space="preserve"> </w:t>
      </w:r>
      <w:r>
        <w:rPr>
          <w:bCs/>
          <w:b/>
        </w:rPr>
        <w:t xml:space="preserve">Kuwait City</w:t>
      </w:r>
      <w:r>
        <w:t xml:space="preserve">, despite the high quality of their scientific work, is language proficiency. While Arabic remains the official language, academic discourse in science and technology is predominantly conducted in English.</w:t>
      </w:r>
      <w:r>
        <w:t xml:space="preserve"> </w:t>
      </w:r>
      <w:r>
        <w:rPr>
          <w:iCs/>
          <w:i/>
        </w:rPr>
        <w:t xml:space="preserve">Editors</w:t>
      </w:r>
      <w:r>
        <w:t xml:space="preserve"> </w:t>
      </w:r>
      <w:r>
        <w:t xml:space="preserve">play a pivotal role here by either providing pre-review linguistic support or clearly distinguishing between methodological flaws and grammatical errors. An effective</w:t>
      </w:r>
      <w:r>
        <w:t xml:space="preserve"> </w:t>
      </w:r>
      <w:r>
        <w:rPr>
          <w:bCs/>
          <w:b/>
        </w:rPr>
        <w:t xml:space="preserve">Editor</w:t>
      </w:r>
      <w:r>
        <w:t xml:space="preserve"> </w:t>
      </w:r>
      <w:r>
        <w:t xml:space="preserve">does not reject a paper solely due to poor English but instead suggests language editing services, thereby preserving the integrity of the scientific contribution.</w:t>
      </w:r>
    </w:p>
    <w:p>
      <w:pPr>
        <w:pStyle w:val="BodyText"/>
      </w:pPr>
      <w:r>
        <w:br/>
      </w:r>
      <w:r>
        <w:t xml:space="preserve">&gt;</w:t>
      </w:r>
    </w:p>
    <w:bookmarkEnd w:id="27"/>
    <w:bookmarkStart w:id="28" w:name="X4785fc3ef98975700393b2c1415bbfb4db55b26"/>
    <w:p>
      <w:pPr>
        <w:pStyle w:val="Heading3"/>
      </w:pPr>
      <w:r>
        <w:t xml:space="preserve">3.2 Cultural Relevance and Global Applicability</w:t>
      </w:r>
    </w:p>
    <w:p>
      <w:pPr>
        <w:pStyle w:val="FirstParagraph"/>
      </w:pPr>
      <w:r>
        <w:br/>
      </w:r>
      <w:r>
        <w:t xml:space="preserve">&gt;</w:t>
      </w:r>
    </w:p>
    <w:p>
      <w:pPr>
        <w:pStyle w:val="BodyText"/>
      </w:pPr>
      <w:r>
        <w:t xml:space="preserve">Research originating in</w:t>
      </w:r>
      <w:r>
        <w:t xml:space="preserve"> </w:t>
      </w:r>
      <w:r>
        <w:rPr>
          <w:bCs/>
          <w:b/>
        </w:rPr>
        <w:t xml:space="preserve">Kuwait City</w:t>
      </w:r>
      <w:r>
        <w:t xml:space="preserve"> </w:t>
      </w:r>
      <w:r>
        <w:t xml:space="preserve">often addresses issues specific to the Gulf region, such as water scarcity in arid climates or regional public health trends. The challenge for the</w:t>
      </w:r>
      <w:r>
        <w:t xml:space="preserve"> </w:t>
      </w:r>
      <w:r>
        <w:rPr>
          <w:iCs/>
          <w:i/>
        </w:rPr>
        <w:t xml:space="preserve">Editor</w:t>
      </w:r>
      <w:r>
        <w:t xml:space="preserve"> </w:t>
      </w:r>
      <w:r>
        <w:t xml:space="preserve">is to help authors contextualize these local findings so that they hold relevance for a global readership. For instance, desalination technologies developed in</w:t>
      </w:r>
      <w:r>
        <w:t xml:space="preserve"> </w:t>
      </w:r>
      <w:r>
        <w:rPr>
          <w:bCs/>
          <w:b/>
        </w:rPr>
        <w:t xml:space="preserve">Kuwait City</w:t>
      </w:r>
      <w:r>
        <w:t xml:space="preserve"> </w:t>
      </w:r>
      <w:r>
        <w:t xml:space="preserve">have universal application due to global water crises. The</w:t>
      </w:r>
      <w:r>
        <w:t xml:space="preserve"> </w:t>
      </w:r>
      <w:r>
        <w:rPr>
          <w:bCs/>
          <w:b/>
        </w:rPr>
        <w:t xml:space="preserve">Editor</w:t>
      </w:r>
      <w:r>
        <w:t xml:space="preserve"> </w:t>
      </w:r>
      <w:r>
        <w:t xml:space="preserve">must highlight this broader applicability in the manuscript’s introduction and discussion sections.</w:t>
      </w:r>
    </w:p>
    <w:p>
      <w:pPr>
        <w:pStyle w:val="BodyText"/>
      </w:pPr>
      <w:r>
        <w:br/>
      </w:r>
      <w:r>
        <w:t xml:space="preserve">&gt;</w:t>
      </w:r>
    </w:p>
    <w:bookmarkEnd w:id="28"/>
    <w:bookmarkStart w:id="29" w:name="interdisciplinary-convergence"/>
    <w:p>
      <w:pPr>
        <w:pStyle w:val="Heading3"/>
      </w:pPr>
      <w:r>
        <w:t xml:space="preserve">3.3 Interdisciplinary Convergence</w:t>
      </w:r>
    </w:p>
    <w:p>
      <w:pPr>
        <w:pStyle w:val="FirstParagraph"/>
      </w:pPr>
      <w:r>
        <w:br/>
      </w:r>
      <w:r>
        <w:t xml:space="preserve">&gt;</w:t>
      </w:r>
    </w:p>
    <w:p>
      <w:pPr>
        <w:pStyle w:val="BodyText"/>
      </w:pPr>
      <w:r>
        <w:t xml:space="preserve">Vision 2035 encourages interdisciplinary work, blending humanities with STEM fields. In</w:t>
      </w:r>
      <w:r>
        <w:t xml:space="preserve"> </w:t>
      </w:r>
      <w:r>
        <w:rPr>
          <w:bCs/>
          <w:b/>
        </w:rPr>
        <w:t xml:space="preserve">Kuwait City</w:t>
      </w:r>
      <w:r>
        <w:t xml:space="preserve">, we see emerging collaborations between Islamic scholars and data scientists, or public policy experts and environmental engineers. The modern</w:t>
      </w:r>
      <w:r>
        <w:t xml:space="preserve"> </w:t>
      </w:r>
      <w:r>
        <w:rPr>
          <w:iCs/>
          <w:i/>
        </w:rPr>
        <w:t xml:space="preserve">Editor</w:t>
      </w:r>
      <w:r>
        <w:t xml:space="preserve"> </w:t>
      </w:r>
      <w:r>
        <w:t xml:space="preserve">must be comfortable navigating these interdisciplinary intersections, ensuring that the terminology is accessible across different academic silos.</w:t>
      </w:r>
    </w:p>
    <w:p>
      <w:r>
        <w:pict>
          <v:rect style="width:0;height:1.5pt" o:hralign="center" o:hrstd="t" o:hr="t"/>
        </w:pict>
      </w:r>
    </w:p>
    <w:p>
      <w:pPr>
        <w:pStyle w:val="FirstParagraph"/>
      </w:pPr>
      <w:r>
        <w:br/>
      </w:r>
      <w:r>
        <w:t xml:space="preserve">&gt;</w:t>
      </w:r>
    </w:p>
    <w:bookmarkEnd w:id="29"/>
    <w:bookmarkEnd w:id="30"/>
    <w:bookmarkStart w:id="31" w:name="Xe374d09232b3ad82ab657834299244600c357de"/>
    <w:p>
      <w:pPr>
        <w:pStyle w:val="Heading2"/>
      </w:pPr>
      <w:r>
        <w:t xml:space="preserve">4. Challenges Faced by Editors in Regional Hubs</w:t>
      </w:r>
    </w:p>
    <w:p>
      <w:pPr>
        <w:pStyle w:val="FirstParagraph"/>
      </w:pPr>
      <w:r>
        <w:t xml:space="preserve">The</w:t>
      </w:r>
      <w:r>
        <w:t xml:space="preserve"> </w:t>
      </w:r>
      <w:r>
        <w:rPr>
          <w:bCs/>
          <w:b/>
        </w:rPr>
        <w:t xml:space="preserve">Editor</w:t>
      </w:r>
      <w:r>
        <w:t xml:space="preserve"> </w:t>
      </w:r>
      <w:r>
        <w:t xml:space="preserve">operating within or focusing on</w:t>
      </w:r>
      <w:r>
        <w:t xml:space="preserve"> </w:t>
      </w:r>
      <w:r>
        <w:rPr>
          <w:bCs/>
          <w:b/>
        </w:rPr>
        <w:t xml:space="preserve">Kuwait City</w:t>
      </w:r>
      <w:r>
        <w:t xml:space="preserve"> </w:t>
      </w:r>
      <w:r>
        <w:t xml:space="preserve">faces several systemic challenges:</w:t>
      </w:r>
    </w:p>
    <w:p>
      <w:pPr>
        <w:pStyle w:val="BodyText"/>
      </w:pPr>
      <w:r>
        <w:br/>
      </w:r>
      <w:r>
        <w:t xml:space="preserve">&gt;</w:t>
      </w:r>
    </w:p>
    <w:p>
      <w:pPr>
        <w:numPr>
          <w:ilvl w:val="0"/>
          <w:numId w:val="1001"/>
        </w:numPr>
        <w:pStyle w:val="Compact"/>
      </w:pPr>
      <w:r>
        <w:rPr>
          <w:bCs/>
          <w:b/>
        </w:rPr>
        <w:t xml:space="preserve">Limited Pool of Local Peer Reviewers:</w:t>
      </w:r>
      <w:r>
        <w:t xml:space="preserve"> </w:t>
      </w:r>
      <w:r>
        <w:t xml:space="preserve">While the number of experts in</w:t>
      </w:r>
      <w:r>
        <w:t xml:space="preserve"> </w:t>
      </w:r>
      <w:r>
        <w:rPr>
          <w:bCs/>
          <w:b/>
        </w:rPr>
        <w:t xml:space="preserve">Kuwait City</w:t>
      </w:r>
      <w:r>
        <w:t xml:space="preserve"> </w:t>
      </w:r>
      <w:r>
        <w:t xml:space="preserve">is growing, it may still be insufficient for niche topics. Editors often rely on international reviewers, which can lead to longer publication timelines.</w:t>
      </w:r>
    </w:p>
    <w:p>
      <w:pPr>
        <w:numPr>
          <w:ilvl w:val="0"/>
          <w:numId w:val="1001"/>
        </w:numPr>
        <w:pStyle w:val="Compact"/>
      </w:pPr>
      <w:r>
        <w:rPr>
          <w:bCs/>
          <w:b/>
        </w:rPr>
        <w:t xml:space="preserve">Digital Infrastructure Gaps:</w:t>
      </w:r>
      <w:r>
        <w:t xml:space="preserve"> </w:t>
      </w:r>
      <w:r>
        <w:t xml:space="preserve">Although improving rapidly, some institutions in</w:t>
      </w:r>
      <w:r>
        <w:t xml:space="preserve"> </w:t>
      </w:r>
      <w:r>
        <w:rPr>
          <w:bCs/>
          <w:b/>
        </w:rPr>
        <w:t xml:space="preserve">Kuwait City</w:t>
      </w:r>
      <w:r>
        <w:t xml:space="preserve"> </w:t>
      </w:r>
      <w:r>
        <w:t xml:space="preserve">may lack robust digital submission systems compared to older Western universities. The</w:t>
      </w:r>
      <w:r>
        <w:t xml:space="preserve"> </w:t>
      </w:r>
      <w:r>
        <w:rPr>
          <w:iCs/>
          <w:i/>
        </w:rPr>
        <w:t xml:space="preserve">Editor</w:t>
      </w:r>
      <w:r>
        <w:t xml:space="preserve"> </w:t>
      </w:r>
      <w:r>
        <w:t xml:space="preserve">must be patient and flexible with manuscript formats.</w:t>
      </w:r>
    </w:p>
    <w:p>
      <w:pPr>
        <w:numPr>
          <w:ilvl w:val="0"/>
          <w:numId w:val="1001"/>
        </w:numPr>
        <w:pStyle w:val="Compact"/>
      </w:pPr>
      <w:r>
        <w:rPr>
          <w:bCs/>
          <w:b/>
        </w:rPr>
        <w:t xml:space="preserve">Cultural Hierarchy in Authorship:</w:t>
      </w:r>
      <w:r>
        <w:t xml:space="preserve">In some regional academic cultures, seniority dictates author order regardless of contribution. Editors must advocate for ethical authorship practices that reflect actual intellectual contribution, a process that requires diplomatic skill to avoid offending senior faculty members.</w:t>
      </w:r>
    </w:p>
    <w:bookmarkEnd w:id="31"/>
    <w:bookmarkStart w:id="32" w:name="X0ead4d7fb2ea1cde9b7442044d3ae95d9f0189e"/>
    <w:p>
      <w:pPr>
        <w:pStyle w:val="Heading2"/>
      </w:pPr>
      <w:r>
        <w:t xml:space="preserve">5. Recommendations for Editorial Excellence in Kuwait City</w:t>
      </w:r>
    </w:p>
    <w:p>
      <w:pPr>
        <w:pStyle w:val="FirstParagraph"/>
      </w:pPr>
      <w:r>
        <w:br/>
      </w:r>
      <w:r>
        <w:t xml:space="preserve">&gt;</w:t>
      </w:r>
    </w:p>
    <w:p>
      <w:pPr>
        <w:pStyle w:val="BodyText"/>
      </w:pPr>
      <w:r>
        <w:t xml:space="preserve">To maximize the potential of academic output from</w:t>
      </w:r>
      <w:r>
        <w:t xml:space="preserve"> </w:t>
      </w:r>
      <w:r>
        <w:rPr>
          <w:bCs/>
          <w:b/>
        </w:rPr>
        <w:t xml:space="preserve">Kuwait City</w:t>
      </w:r>
      <w:r>
        <w:t xml:space="preserve">, several strategies are recommended for Journals and Editors:</w:t>
      </w:r>
    </w:p>
    <w:p>
      <w:pPr>
        <w:pStyle w:val="BodyText"/>
      </w:pPr>
      <w:r>
        <w:br/>
      </w:r>
      <w:r>
        <w:t xml:space="preserve">&gt;</w:t>
      </w:r>
    </w:p>
    <w:p>
      <w:pPr>
        <w:numPr>
          <w:ilvl w:val="0"/>
          <w:numId w:val="1002"/>
        </w:numPr>
        <w:pStyle w:val="Compact"/>
      </w:pPr>
      <w:r>
        <w:rPr>
          <w:bCs/>
          <w:b/>
        </w:rPr>
        <w:t xml:space="preserve">Invest in Editorial Training:</w:t>
      </w:r>
      <w:r>
        <w:t xml:space="preserve"> </w:t>
      </w:r>
      <w:r>
        <w:t xml:space="preserve">Local editors should receive formal training in peer-review management, ethics, and open science practices.</w:t>
      </w:r>
    </w:p>
    <w:p>
      <w:pPr>
        <w:numPr>
          <w:ilvl w:val="0"/>
          <w:numId w:val="1002"/>
        </w:numPr>
        <w:pStyle w:val="Compact"/>
      </w:pPr>
      <w:r>
        <w:rPr>
          <w:bCs/>
          <w:b/>
        </w:rPr>
        <w:t xml:space="preserve">Foster Partnerships with International Journals:</w:t>
      </w:r>
      <w:r>
        <w:t xml:space="preserve"> </w:t>
      </w:r>
      <w:r>
        <w:t xml:space="preserve">Editors from</w:t>
      </w:r>
      <w:r>
        <w:t xml:space="preserve"> </w:t>
      </w:r>
      <w:r>
        <w:rPr>
          <w:bCs/>
          <w:b/>
        </w:rPr>
        <w:t xml:space="preserve">Kuwait City</w:t>
      </w:r>
      <w:r>
        <w:t xml:space="preserve">-based journals should seek partnerships with international publishers to transfer knowledge and improve quality standards.</w:t>
      </w:r>
    </w:p>
    <w:p>
      <w:pPr>
        <w:numPr>
          <w:ilvl w:val="0"/>
          <w:numId w:val="1002"/>
        </w:numPr>
        <w:pStyle w:val="Compact"/>
      </w:pPr>
      <w:r>
        <w:rPr>
          <w:bCs/>
          <w:b/>
        </w:rPr>
        <w:t xml:space="preserve">Develop Regional Special Issues:</w:t>
      </w:r>
      <w:r>
        <w:t xml:space="preserve"> </w:t>
      </w:r>
      <w:r>
        <w:rPr>
          <w:iCs/>
          <w:i/>
        </w:rPr>
        <w:t xml:space="preserve">Editors</w:t>
      </w:r>
      <w:r>
        <w:t xml:space="preserve"> </w:t>
      </w:r>
      <w:r>
        <w:t xml:space="preserve">can curate special issues that focus on regional challenges (e.g., Gulf environmental sustainability) to attract high-quality submissions from</w:t>
      </w:r>
      <w:r>
        <w:t xml:space="preserve"> </w:t>
      </w:r>
      <w:r>
        <w:rPr>
          <w:bCs/>
          <w:b/>
        </w:rPr>
        <w:t xml:space="preserve">Kuwait City</w:t>
      </w:r>
      <w:r>
        <w:t xml:space="preserve"> </w:t>
      </w:r>
      <w:r>
        <w:t xml:space="preserve">and the broader GCC region, thereby increasing citation metrics.</w:t>
      </w:r>
    </w:p>
    <w:p>
      <w:pPr>
        <w:numPr>
          <w:ilvl w:val="0"/>
          <w:numId w:val="1002"/>
        </w:numPr>
        <w:pStyle w:val="Compact"/>
      </w:pPr>
      <w:r>
        <w:rPr>
          <w:bCs/>
          <w:b/>
        </w:rPr>
        <w:t xml:space="preserve">Leverage Technology:</w:t>
      </w:r>
      <w:r>
        <w:t xml:space="preserve"> </w:t>
      </w:r>
      <w:r>
        <w:t xml:space="preserve">Implementing AI-driven tools for initial plagiarism checks and language screening can assist Editors in managing high volumes of submissions efficiently.</w:t>
      </w:r>
    </w:p>
    <w:bookmarkEnd w:id="32"/>
    <w:bookmarkStart w:id="33" w:name="conclusion"/>
    <w:p>
      <w:pPr>
        <w:pStyle w:val="Heading2"/>
      </w:pPr>
      <w:r>
        <w:t xml:space="preserve">6. Conclusion</w:t>
      </w:r>
    </w:p>
    <w:p>
      <w:pPr>
        <w:pStyle w:val="FirstParagraph"/>
      </w:pPr>
      <w:r>
        <w:br/>
      </w:r>
      <w:r>
        <w:t xml:space="preserve">&gt;</w:t>
      </w:r>
    </w:p>
    <w:p>
      <w:pPr>
        <w:pStyle w:val="BodyText"/>
      </w:pPr>
      <w:r>
        <w:t xml:space="preserve">The trajectory of academic publishing in</w:t>
      </w:r>
      <w:r>
        <w:t xml:space="preserve"> </w:t>
      </w:r>
      <w:r>
        <w:rPr>
          <w:bCs/>
          <w:b/>
        </w:rPr>
        <w:t xml:space="preserve">Kuwait City</w:t>
      </w:r>
      <w:r>
        <w:t xml:space="preserve"> </w:t>
      </w:r>
      <w:r>
        <w:t xml:space="preserve">is closely tied to the broader national goals of Vision 2035. As Kuwait seeks to establish itself as a regional knowledge hub, the quality and integrity of its published research are paramount. The</w:t>
      </w:r>
      <w:r>
        <w:t xml:space="preserve"> </w:t>
      </w:r>
      <w:r>
        <w:rPr>
          <w:bCs/>
          <w:b/>
        </w:rPr>
        <w:t xml:space="preserve">Editor</w:t>
      </w:r>
      <w:r>
        <w:t xml:space="preserve"> </w:t>
      </w:r>
      <w:r>
        <w:t xml:space="preserve">stands at the forefront of this mission.</w:t>
      </w:r>
    </w:p>
    <w:p>
      <w:pPr>
        <w:pStyle w:val="BodyText"/>
      </w:pPr>
      <w:r>
        <w:br/>
      </w:r>
      <w:r>
        <w:t xml:space="preserve">&gt;</w:t>
      </w:r>
    </w:p>
    <w:p>
      <w:pPr>
        <w:pStyle w:val="BodyText"/>
      </w:pPr>
      <w:r>
        <w:t xml:space="preserve">The modern</w:t>
      </w:r>
      <w:r>
        <w:t xml:space="preserve"> </w:t>
      </w:r>
      <w:r>
        <w:rPr>
          <w:iCs/>
          <w:i/>
        </w:rPr>
        <w:t xml:space="preserve">Editor</w:t>
      </w:r>
      <w:r>
        <w:t xml:space="preserve"> </w:t>
      </w:r>
      <w:r>
        <w:t xml:space="preserve">is not merely a passive recipient of manuscripts but an active architect of academic discourse. By combining rigorous scientific scrutiny with cultural sensitivity and strategic mentorship, Editors can significantly elevate the profile of research emerging from</w:t>
      </w:r>
      <w:r>
        <w:t xml:space="preserve"> </w:t>
      </w:r>
      <w:r>
        <w:rPr>
          <w:bCs/>
          <w:b/>
        </w:rPr>
        <w:t xml:space="preserve">Kuwait City</w:t>
      </w:r>
      <w:r>
        <w:t xml:space="preserve">. They bridge the gap between local innovation and global recognition, ensuring that the intellectual contributions of Kuwait are not only preserved but widely disseminated. As we look to the future, investing in strong editorial leadership is as critical as investing in laboratory infrastructure for any nation aspiring to lead in the knowledge economy.</w:t>
      </w:r>
    </w:p>
    <w:p>
      <w:pPr>
        <w:pStyle w:val="BodyText"/>
      </w:pPr>
      <w:r>
        <w:br/>
      </w:r>
      <w:r>
        <w:t xml:space="preserve">&gt;</w:t>
      </w:r>
    </w:p>
    <w:bookmarkEnd w:id="33"/>
    <w:bookmarkStart w:id="34" w:name="references"/>
    <w:p>
      <w:pPr>
        <w:pStyle w:val="Heading2"/>
      </w:pPr>
      <w:r>
        <w:t xml:space="preserve">7. References</w:t>
      </w:r>
    </w:p>
    <w:p>
      <w:pPr>
        <w:pStyle w:val="FirstParagraph"/>
      </w:pPr>
      <w:r>
        <w:br/>
      </w:r>
      <w:r>
        <w:t xml:space="preserve">&gt;</w:t>
      </w:r>
    </w:p>
    <w:p>
      <w:pPr>
        <w:pStyle w:val="BodyText"/>
      </w:pPr>
      <w:r>
        <w:t xml:space="preserve">1. Committee on Publication Ethics (COPE). (2023). *Core Practices*.</w:t>
      </w:r>
      <w:r>
        <w:br/>
      </w:r>
      <w:r>
        <w:t xml:space="preserve">2. Government of Kuwait. (2018). *Kuwait Vision 2035: The New Kuwait*.</w:t>
      </w:r>
      <w:r>
        <w:br/>
      </w:r>
      <w:r>
        <w:t xml:space="preserve">3. Subotic, V., &amp; Mottar, W. (2019). "The Role of the Academic Editor in Open Access Publishing."</w:t>
      </w:r>
      <w:r>
        <w:t xml:space="preserve"> </w:t>
      </w:r>
      <w:r>
        <w:rPr>
          <w:iCs/>
          <w:i/>
        </w:rPr>
        <w:t xml:space="preserve">Journal of Academic Ethics</w:t>
      </w:r>
      <w:r>
        <w:t xml:space="preserve">, 17(2), 145-160.</w:t>
      </w:r>
      <w:r>
        <w:br/>
      </w:r>
      <w:r>
        <w:t xml:space="preserve">4. Al-Mutawa, N., et al. (2021). "Research Output and Impact in GCC Universities: A Bibliometric Analysis."</w:t>
      </w:r>
      <w:r>
        <w:t xml:space="preserve"> </w:t>
      </w:r>
      <w:r>
        <w:rPr>
          <w:iCs/>
          <w:i/>
        </w:rPr>
        <w:t xml:space="preserve">Scientometrics</w:t>
      </w:r>
      <w:r>
        <w:t xml:space="preserve">, 126, 890-915.</w:t>
      </w:r>
    </w:p>
    <w:p>
      <w:pPr>
        <w:pStyle w:val="BodyText"/>
      </w:pPr>
      <w:r>
        <w:br/>
      </w:r>
      <w:r>
        <w:t xml:space="preserve">&gt;</w:t>
      </w:r>
    </w:p>
    <w:p>
      <w:pPr>
        <w:pStyle w:val="BodyText"/>
      </w:pPr>
      <w:r>
        <w:rPr>
          <w:bCs/>
          <w:b/>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Editor in Academic Publishing: A Case Study of Kuwait City</dc:title>
  <dc:creator/>
  <dc:language>en</dc:language>
  <cp:keywords/>
  <dcterms:created xsi:type="dcterms:W3CDTF">2026-07-29T18:00:04Z</dcterms:created>
  <dcterms:modified xsi:type="dcterms:W3CDTF">2026-07-29T18:00:04Z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