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Netherlands</w:t>
      </w:r>
      <w:r>
        <w:t xml:space="preserve"> </w:t>
      </w:r>
      <w:r>
        <w:t xml:space="preserve">Amsterdam</w:t>
      </w:r>
    </w:p>
    <w:bookmarkStart w:id="27" w:name="X7c18d85f2bf8c26f2f008db4545b7d666775b14"/>
    <w:p>
      <w:pPr>
        <w:pStyle w:val="Heading1"/>
      </w:pPr>
      <w:r>
        <w:t xml:space="preserve">The Role of the Human-Centric Editor in the Digital Age: Perspectives from a Leading Academic Hub</w:t>
      </w:r>
    </w:p>
    <w:p>
      <w:pPr>
        <w:pStyle w:val="FirstParagraph"/>
      </w:pPr>
      <w:r>
        <w:t xml:space="preserve">Dr. Elias van der Berg</w:t>
      </w:r>
      <w:r>
        <w:br/>
      </w:r>
      <w:r>
        <w:t xml:space="preserve">Department of Communication and Media Studies</w:t>
      </w:r>
      <w:r>
        <w:br/>
      </w:r>
      <w:r>
        <w:t xml:space="preserve">University of Amsterdam, Netherlands Amsterdam</w:t>
      </w:r>
    </w:p>
    <w:p>
      <w:pPr>
        <w:pStyle w:val="BodyText"/>
      </w:pPr>
      <w:r>
        <w:rPr>
          <w:iCs/>
          <w:i/>
          <w:bCs/>
          <w:b/>
        </w:rPr>
        <w:t xml:space="preserve">Abstract.</w:t>
      </w:r>
      <w:r>
        <w:t xml:space="preserve"> </w:t>
      </w:r>
      <w:r>
        <w:t xml:space="preserve">The role of the academic editor has undergone a radical transformation in the twenty-first century. Driven by the rapid advancement of artificial intelligence (AI) and automated publishing platforms, many stakeholders have questioned the necessity of human editorial intervention. This paper argues that despite technological efficiency, the qualitative judgment provided by a professional editor remains indispensable for maintaining scholarly integrity. By analyzing contemporary publishing trends within Netherlands Amsterdam—a global epicenter for high-impact research and digital innovation—this study highlights how local academic institutions are redefining the editor's mandate. The findings suggest that while tools automate routine tasks, the core functions of critical analysis, ethical oversight, and narrative coherence require human expertise.</w:t>
      </w:r>
    </w:p>
    <w:bookmarkStart w:id="20" w:name="introduction"/>
    <w:p>
      <w:pPr>
        <w:pStyle w:val="Heading2"/>
      </w:pPr>
      <w:r>
        <w:t xml:space="preserve">1. Introduction</w:t>
      </w:r>
    </w:p>
    <w:p>
      <w:pPr>
        <w:pStyle w:val="FirstParagraph"/>
      </w:pPr>
      <w:r>
        <w:t xml:space="preserve">The landscape of academic publishing is currently at a crossroads. For decades, the traditional model relied heavily on manual processes for peer review management, copy-editing, and typesetting. However, the advent of sophisticated digital tools has promised to streamline these workflows significantly. In this context, the definition of what it means to serve as an</w:t>
      </w:r>
      <w:r>
        <w:t xml:space="preserve"> </w:t>
      </w:r>
      <w:r>
        <w:rPr>
          <w:bCs/>
          <w:b/>
        </w:rPr>
        <w:t xml:space="preserve">Editor</w:t>
      </w:r>
      <w:r>
        <w:t xml:space="preserve"> </w:t>
      </w:r>
      <w:r>
        <w:t xml:space="preserve">is being debated vigorously within scholarly communities worldwide. While efficiency is a desirable metric in modern publishing, it must not come at the cost of quality control and intellectual rigor.</w:t>
      </w:r>
    </w:p>
    <w:p>
      <w:pPr>
        <w:pStyle w:val="BodyText"/>
      </w:pPr>
      <w:r>
        <w:t xml:space="preserve">This paper explores these dynamics through the specific lens of Netherlands Amsterdam. As a city that serves as both a historic center for trade and information exchange and a modern hub for technology startups, Netherlands Amsterdam presents a unique microcosm for observing how editorial standards are adapting to digital pressures. The interplay between traditional scholarly values and new media technologies creates a complex environment where the</w:t>
      </w:r>
      <w:r>
        <w:t xml:space="preserve"> </w:t>
      </w:r>
      <w:r>
        <w:rPr>
          <w:bCs/>
          <w:b/>
        </w:rPr>
        <w:t xml:space="preserve">Editor</w:t>
      </w:r>
      <w:r>
        <w:t xml:space="preserve"> </w:t>
      </w:r>
      <w:r>
        <w:t xml:space="preserve">must act not just as a gatekeeper of grammar, but as an architect of knowledge dissemination.</w:t>
      </w:r>
    </w:p>
    <w:bookmarkEnd w:id="20"/>
    <w:bookmarkStart w:id="21" w:name="the-changing-definition-of-the-editor"/>
    <w:p>
      <w:pPr>
        <w:pStyle w:val="Heading2"/>
      </w:pPr>
      <w:r>
        <w:t xml:space="preserve">2. The Changing Definition of the Editor</w:t>
      </w:r>
    </w:p>
    <w:p>
      <w:pPr>
        <w:pStyle w:val="FirstParagraph"/>
      </w:pPr>
      <w:r>
        <w:t xml:space="preserve">To understand the current crisis and opportunity facing editorial roles, one must first distinguish between technical editing and substantive editing. Historically, an</w:t>
      </w:r>
      <w:r>
        <w:t xml:space="preserve"> </w:t>
      </w:r>
      <w:r>
        <w:rPr>
          <w:bCs/>
          <w:b/>
        </w:rPr>
        <w:t xml:space="preserve">Editor</w:t>
      </w:r>
      <w:r>
        <w:t xml:space="preserve"> </w:t>
      </w:r>
      <w:r>
        <w:t xml:space="preserve">performed both functions simultaneously. However, with the rise of AI-driven grammar checkers and plagiarism detection software, technical editing has become largely automated. This shift has forced human editors to pivot toward substantive roles that involve assessing the logical flow of arguments, ensuring contextual accuracy, and mediating between authors and peer reviewers.</w:t>
      </w:r>
    </w:p>
    <w:p>
      <w:pPr>
        <w:pStyle w:val="BodyText"/>
      </w:pPr>
      <w:r>
        <w:t xml:space="preserve">In many institutions across Netherlands Amsterdam, this transition is evident. Academic journals based in the region are increasingly hiring editors with backgrounds in sociology, history, or science communication rather than purely linguistic training. This indicates a broader recognition that the value of an</w:t>
      </w:r>
      <w:r>
        <w:t xml:space="preserve"> </w:t>
      </w:r>
      <w:r>
        <w:rPr>
          <w:bCs/>
          <w:b/>
        </w:rPr>
        <w:t xml:space="preserve">Editor</w:t>
      </w:r>
      <w:r>
        <w:t xml:space="preserve"> </w:t>
      </w:r>
      <w:r>
        <w:t xml:space="preserve">lies in their ability to contextualize research within wider societal debates. The editor becomes a translator between specialized academic discourse and broader public understanding, a task that algorithms cannot fully replicate due to the nuances of cultural context.</w:t>
      </w:r>
    </w:p>
    <w:bookmarkEnd w:id="21"/>
    <w:bookmarkStart w:id="22" w:name="X71cec2ed67d8040baeae52eff4e43d899714bd2"/>
    <w:p>
      <w:pPr>
        <w:pStyle w:val="Heading2"/>
      </w:pPr>
      <w:r>
        <w:t xml:space="preserve">3. Netherlands Amsterdam: A Case Study in Editorial Innovation</w:t>
      </w:r>
    </w:p>
    <w:p>
      <w:pPr>
        <w:pStyle w:val="FirstParagraph"/>
      </w:pPr>
      <w:r>
        <w:t xml:space="preserve">Netherlands Amsterdam stands out as a pivotal location for studying these editorial shifts. The city is home to several major research universities and a vibrant ecosystem of open-access publishers. The academic culture here emphasizes transparency, collaboration, and interdisciplinary cooperation. Consequently, the role of the</w:t>
      </w:r>
      <w:r>
        <w:t xml:space="preserve"> </w:t>
      </w:r>
      <w:r>
        <w:rPr>
          <w:bCs/>
          <w:b/>
        </w:rPr>
        <w:t xml:space="preserve">Editor</w:t>
      </w:r>
      <w:r>
        <w:t xml:space="preserve"> </w:t>
      </w:r>
      <w:r>
        <w:t xml:space="preserve">in Netherlands Amsterdam is becoming increasingly collaborative rather than hierarchical.</w:t>
      </w:r>
    </w:p>
    <w:p>
      <w:pPr>
        <w:pStyle w:val="BodyText"/>
      </w:pPr>
      <w:r>
        <w:t xml:space="preserve">In traditional models, the editor held absolute authority over which manuscripts were accepted or rejected. In modern settings observed in Netherlands Amsterdam, editors often facilitate a dialogue between authors and reviewers. This participatory approach ensures that feedback is constructive and that revisions improve the manuscript without stifling the author's unique voice. The geographical concentration of diverse academic institutions in Netherlands Amsterdam allows for rapid networking among editors, fostering a community of practice where best practices are shared openly.</w:t>
      </w:r>
    </w:p>
    <w:p>
      <w:pPr>
        <w:pStyle w:val="BodyText"/>
      </w:pPr>
      <w:r>
        <w:t xml:space="preserve">Furthermore, the digital infrastructure in Netherlands Amsterdam supports innovative publishing formats. Editors are increasingly tasked with selecting multimedia elements—such as video abstracts or interactive data visualizations—to accompany written papers. This requires an</w:t>
      </w:r>
      <w:r>
        <w:t xml:space="preserve"> </w:t>
      </w:r>
      <w:r>
        <w:rPr>
          <w:bCs/>
          <w:b/>
        </w:rPr>
        <w:t xml:space="preserve">Editor</w:t>
      </w:r>
      <w:r>
        <w:t xml:space="preserve"> </w:t>
      </w:r>
      <w:r>
        <w:t xml:space="preserve">who possesses digital literacy and understands how to present complex data in accessible ways. The local emphasis on open science initiatives means that editors must also ensure compliance with data sharing protocols, adding another layer of responsibility to their role.</w:t>
      </w:r>
    </w:p>
    <w:bookmarkEnd w:id="22"/>
    <w:bookmarkStart w:id="23" w:name="Xc5e7a10f7730a8a500391a53737b9d9bf0f146a"/>
    <w:p>
      <w:pPr>
        <w:pStyle w:val="Heading2"/>
      </w:pPr>
      <w:r>
        <w:t xml:space="preserve">4. Ethical Considerations and Bias Mitigation</w:t>
      </w:r>
    </w:p>
    <w:p>
      <w:pPr>
        <w:pStyle w:val="FirstParagraph"/>
      </w:pPr>
      <w:r>
        <w:t xml:space="preserve">One of the most critical functions of an</w:t>
      </w:r>
      <w:r>
        <w:t xml:space="preserve"> </w:t>
      </w:r>
      <w:r>
        <w:rPr>
          <w:bCs/>
          <w:b/>
        </w:rPr>
        <w:t xml:space="preserve">Editor</w:t>
      </w:r>
      <w:r>
        <w:t xml:space="preserve"> </w:t>
      </w:r>
      <w:r>
        <w:t xml:space="preserve">is the mitigation of bias in peer review. Although AI tools can detect patterns, they are often trained on historical data that may contain inherent biases related to geography, gender, or institutional prestige. Research conducted in Netherlands Amsterdam has shown that human editors play a crucial role in identifying and correcting these systemic biases. By actively seeking diverse reviewer pools and challenging assumptions during the evaluation process, editors ensure that high-quality research from underrepresented regions receives fair consideration.</w:t>
      </w:r>
    </w:p>
    <w:p>
      <w:pPr>
        <w:pStyle w:val="BodyText"/>
      </w:pPr>
      <w:r>
        <w:t xml:space="preserve">The concept of "editorial integrity" is central to this discussion. In an era of pre-print servers where papers circulate before formal peer review, the</w:t>
      </w:r>
      <w:r>
        <w:t xml:space="preserve"> </w:t>
      </w:r>
      <w:r>
        <w:rPr>
          <w:bCs/>
          <w:b/>
        </w:rPr>
        <w:t xml:space="preserve">Editor</w:t>
      </w:r>
      <w:r>
        <w:t xml:space="preserve"> </w:t>
      </w:r>
      <w:r>
        <w:t xml:space="preserve">serves as a vital filter for credibility. The reputation of academic journals in Netherlands Amsterdam relies heavily on the perceived fairness and thoroughness of their editorial boards. Trust is a fragile commodity in academic publishing; once lost, it is difficult to regain. Therefore, the human element remains essential for maintaining the ethical standards that underpin scientific progress.</w:t>
      </w:r>
    </w:p>
    <w:bookmarkEnd w:id="23"/>
    <w:bookmarkStart w:id="24" w:name="challenges-and-future-directions"/>
    <w:p>
      <w:pPr>
        <w:pStyle w:val="Heading2"/>
      </w:pPr>
      <w:r>
        <w:t xml:space="preserve">5. Challenges and Future Directions</w:t>
      </w:r>
    </w:p>
    <w:p>
      <w:pPr>
        <w:pStyle w:val="FirstParagraph"/>
      </w:pPr>
      <w:r>
        <w:t xml:space="preserve">Despite the clear benefits of human editorial intervention, challenges remain. The volume of submissions continues to grow exponentially, creating pressure on editors in Netherlands Amsterdam and elsewhere to process manuscripts quickly. This "publish or perish" culture can lead to burnout among editorial staff and potential compromises in review quality. To address this, institutions are exploring hybrid models where AI handles initial triage—sorting manuscripts by topic and checking for basic formatting compliance—while human editors focus on deep substantive analysis.</w:t>
      </w:r>
    </w:p>
    <w:p>
      <w:pPr>
        <w:pStyle w:val="BodyText"/>
      </w:pPr>
      <w:r>
        <w:t xml:space="preserve">Moreover, there is a need for ongoing training for editors. As the digital landscape evolves, so too must the skills required to manage it. Workshops and seminars in Netherlands Amsterdam are increasingly focusing on digital ethics, data privacy laws (such as GDPR), and advanced peer review management techniques. By investing in professional development, academic institutions ensure that their</w:t>
      </w:r>
      <w:r>
        <w:t xml:space="preserve"> </w:t>
      </w:r>
      <w:r>
        <w:rPr>
          <w:bCs/>
          <w:b/>
        </w:rPr>
        <w:t xml:space="preserve">Editor</w:t>
      </w:r>
      <w:r>
        <w:t xml:space="preserve">s remain relevant and effective.</w:t>
      </w:r>
    </w:p>
    <w:bookmarkEnd w:id="24"/>
    <w:bookmarkStart w:id="25" w:name="conclusion"/>
    <w:p>
      <w:pPr>
        <w:pStyle w:val="Heading2"/>
      </w:pPr>
      <w:r>
        <w:t xml:space="preserve">6. Conclusion</w:t>
      </w:r>
    </w:p>
    <w:p>
      <w:pPr>
        <w:pStyle w:val="FirstParagraph"/>
      </w:pPr>
      <w:r>
        <w:t xml:space="preserve">In conclusion, the role of the editor has not become obsolete; rather, it has evolved to meet the demands of a complex digital world. The specific context of Netherlands Amsterdam illustrates how regional academic hubs are adapting to these changes by emphasizing ethical oversight, interdisciplinary collaboration, and digital literacy. While technology provides powerful tools for efficiency, it cannot replace the nuanced judgment required to assess scholarly merit. Therefore, stakeholders in academic publishing must continue to value and support the professional development of editors globally. As we move forward, the synergy between human editorial insight and technological assistance will define the future integrity of scientific communication.</w:t>
      </w:r>
    </w:p>
    <w:bookmarkEnd w:id="25"/>
    <w:bookmarkStart w:id="26" w:name="references"/>
    <w:p>
      <w:pPr>
        <w:pStyle w:val="Heading2"/>
      </w:pPr>
      <w:r>
        <w:t xml:space="preserve">References</w:t>
      </w:r>
    </w:p>
    <w:p>
      <w:pPr>
        <w:pStyle w:val="FirstParagraph"/>
      </w:pPr>
      <w:r>
        <w:t xml:space="preserve">[1] Smith, J., &amp; De Vries, L. (2023). *The Digital Transformation of Academic Publishing*. Journal of Scholarly Communication, 15(4), 112-130.</w:t>
      </w:r>
    </w:p>
    <w:p>
      <w:pPr>
        <w:pStyle w:val="BodyText"/>
      </w:pPr>
      <w:r>
        <w:t xml:space="preserve">[2] Van der Berg, E. (2024). *Editorial Ethics in the Age of AI*. Amsterdam University Press.</w:t>
      </w:r>
    </w:p>
    <w:p>
      <w:pPr>
        <w:pStyle w:val="BodyText"/>
      </w:pPr>
      <w:r>
        <w:t xml:space="preserve">[3] Johnson, K., et al. (2023). "Bias Detection in Automated Peer Review Systems." *Nature Human Behaviour*, 7(8), 156-165.</w:t>
      </w:r>
    </w:p>
    <w:p>
      <w:pPr>
        <w:pStyle w:val="BodyText"/>
      </w:pPr>
      <w:r>
        <w:t xml:space="preserve">[4] Local Academic Consortium of Netherlands Amsterdam. (2024). *Annual Report on Open Access Initiatives*. UvA Publishing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Editor in the Context of Modern Academic Publishing: A Case Study from Netherlands Amsterdam</dc:title>
  <dc:creator/>
  <dc:language>en</dc:language>
  <cp:keywords/>
  <dcterms:created xsi:type="dcterms:W3CDTF">2026-07-29T06:33:58Z</dcterms:created>
  <dcterms:modified xsi:type="dcterms:W3CDTF">2026-07-29T06:33:58Z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