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Kuwait</w:t>
      </w:r>
      <w:r>
        <w:t xml:space="preserve"> </w:t>
      </w:r>
      <w:r>
        <w:t xml:space="preserve">City:</w:t>
      </w:r>
      <w:r>
        <w:t xml:space="preserve"> </w:t>
      </w:r>
      <w:r>
        <w:t xml:space="preserve">Navigating</w:t>
      </w:r>
      <w:r>
        <w:t xml:space="preserve"> </w:t>
      </w:r>
      <w:r>
        <w:t xml:space="preserve">Vision</w:t>
      </w:r>
      <w:r>
        <w:t xml:space="preserve"> </w:t>
      </w:r>
      <w:r>
        <w:t xml:space="preserve">2035</w:t>
      </w:r>
    </w:p>
    <w:bookmarkStart w:id="30" w:name="Xc506e9e151b324b0d80110363a0a37882097168"/>
    <w:p>
      <w:pPr>
        <w:pStyle w:val="Heading1"/>
      </w:pPr>
      <w:r>
        <w:t xml:space="preserve">The Strategic Role of the Education Administrator in Kuwait City:</w:t>
      </w:r>
      <w:r>
        <w:br/>
      </w:r>
      <w:r>
        <w:t xml:space="preserve">Navigating Vision 2035 and Digital Transformation</w:t>
      </w:r>
    </w:p>
    <w:p>
      <w:pPr>
        <w:pStyle w:val="FirstParagraph"/>
      </w:pPr>
      <w:r>
        <w:rPr>
          <w:bCs/>
          <w:b/>
        </w:rPr>
        <w:t xml:space="preserve">Author:</w:t>
      </w:r>
      <w:r>
        <w:t xml:space="preserve"> </w:t>
      </w:r>
      <w:r>
        <w:t xml:space="preserve">Research Division on Educational Leadership</w:t>
      </w:r>
      <w:r>
        <w:br/>
      </w:r>
      <w:r>
        <w:rPr>
          <w:bCs/>
          <w:b/>
        </w:rPr>
        <w:t xml:space="preserve">Institution:</w:t>
      </w:r>
      <w:r>
        <w:t xml:space="preserve"> </w:t>
      </w:r>
      <w:r>
        <w:t xml:space="preserve">Institute of Advanced Administrative Studies</w:t>
      </w:r>
      <w:r>
        <w:br/>
      </w:r>
      <w:r>
        <w:rPr>
          <w:bCs/>
          <w:b/>
        </w:rPr>
        <w:t xml:space="preserve">Date:</w:t>
      </w:r>
      <w:r>
        <w:t xml:space="preserve"> </w:t>
      </w:r>
      <w:r>
        <w:t xml:space="preserve">October 2023</w:t>
      </w:r>
    </w:p>
    <w:bookmarkStart w:id="20" w:name="section"/>
    <w:p>
      <w:pPr>
        <w:pStyle w:val="Heading2"/>
      </w:pPr>
    </w:p>
    <w:p>
      <w:pPr>
        <w:pStyle w:val="FirstParagraph"/>
      </w:pPr>
      <w:r>
        <w:t xml:space="preserve">Abstract</w:t>
      </w:r>
    </w:p>
    <w:p>
      <w:pPr>
        <w:pStyle w:val="BodyText"/>
      </w:pPr>
      <w:r>
        <w:t xml:space="preserve">&gt;</w:t>
      </w:r>
    </w:p>
    <w:p>
      <w:pPr>
        <w:pStyle w:val="BodyText"/>
      </w:pPr>
      <w:r>
        <w:t xml:space="preserve">This paper examines the evolving role of the Education Administrator within the dynamic educational landscape of Kuwait City. As Kuwait pursues its ambitious "New Kuwait 2035" development plan, educational institutions are undergoing significant structural and pedagogical reforms. The Education Administrator is no longer merely a bureaucratic manager but serves as a critical strategic leader responsible for implementing national visions, integrating digital technologies, and fostering culturally responsive leadership. This document analyzes the specific challenges faced by administrators in Kuwait City, including the need to harmonize modern international standards with traditional cultural values. Furthermore, it proposes a framework for effective administrative practice that emphasizes data-driven decision-making and community engagement.</w:t>
      </w:r>
    </w:p>
    <w:p>
      <w:pPr>
        <w:pStyle w:val="BodyText"/>
      </w:pPr>
      <w:r>
        <w:rPr>
          <w:bCs/>
          <w:b/>
        </w:rPr>
        <w:t xml:space="preserve">Keywords:</w:t>
      </w:r>
      <w:r>
        <w:t xml:space="preserve"> </w:t>
      </w:r>
      <w:r>
        <w:t xml:space="preserve">Education Administrator, Kuwait City, Vision 2035, Educational Leadership, Digital Transformation.</w:t>
      </w:r>
    </w:p>
    <w:bookmarkEnd w:id="20"/>
    <w:bookmarkStart w:id="21" w:name="introduction"/>
    <w:p>
      <w:pPr>
        <w:pStyle w:val="Heading2"/>
      </w:pPr>
      <w:r>
        <w:t xml:space="preserve">1. Introduction</w:t>
      </w:r>
    </w:p>
    <w:p>
      <w:pPr>
        <w:pStyle w:val="FirstParagraph"/>
      </w:pPr>
      <w:r>
        <w:t xml:space="preserve">The educational sector in Kuwait stands at a pivotal juncture. As the nation transitions from an oil-dependent economy to a knowledge-based society, the quality and management of education have emerged as central pillars of national development. At the heart of this transformation is Kuwait City, the capital and primary hub for administrative, political, and academic activities. Within this bustling metropolis, the Education Administrator serves as a vital cog in ensuring that schools meet rigorous standards while preparing students for a globalized future.</w:t>
      </w:r>
    </w:p>
    <w:p>
      <w:pPr>
        <w:pStyle w:val="BodyText"/>
      </w:pPr>
      <w:r>
        <w:t xml:space="preserve">However, the traditional definition of an Education Administrator—focused largely on resource allocation and compliance—is increasingly obsolete. In Kuwait City, where the demographic makeup is diverse and rapidly changing, administrators must possess a multifaceted skill set. They are required to act as change agents who can interpret high-level policy directives from the Ministry of Education and translate them into actionable strategies within individual institutions. This paper argues that the efficacy of educational outcomes in Kuwait City is directly correlated with the strategic agility and leadership capacity of its Education Administrators.</w:t>
      </w:r>
    </w:p>
    <w:bookmarkEnd w:id="21"/>
    <w:bookmarkStart w:id="22" w:name="the-context-kuwait-city-and-vision-2035"/>
    <w:p>
      <w:pPr>
        <w:pStyle w:val="Heading2"/>
      </w:pPr>
      <w:r>
        <w:t xml:space="preserve">2. The Context: Kuwait City and Vision 2035</w:t>
      </w:r>
    </w:p>
    <w:p>
      <w:pPr>
        <w:pStyle w:val="FirstParagraph"/>
      </w:pPr>
      <w:r>
        <w:t xml:space="preserve">To understand the responsibilities of the Education Administrator, one must first appreciate the specific context in which they operate. Kuwait City is not just a geographic location; it is a cultural and economic epicenter. It houses some of the country’s most prestigious schools, universities, and research centers. Consequently, expectations from parents, government stakeholders, and society at large are exceptionally high.</w:t>
      </w:r>
    </w:p>
    <w:p>
      <w:pPr>
        <w:pStyle w:val="BodyText"/>
      </w:pPr>
      <w:r>
        <w:t xml:space="preserve">The backdrop for these administrative duties is "New Kuwait 2035," a comprehensive national development plan that emphasizes human capital development as the engine of growth. For the Education Administrator in Kuwait City, this vision translates into several key imperatives:</w:t>
      </w:r>
    </w:p>
    <w:p>
      <w:pPr>
        <w:numPr>
          <w:ilvl w:val="0"/>
          <w:numId w:val="1001"/>
        </w:numPr>
        <w:pStyle w:val="Compact"/>
      </w:pPr>
      <w:r>
        <w:rPr>
          <w:bCs/>
          <w:b/>
        </w:rPr>
        <w:t xml:space="preserve">Digital Integration:</w:t>
      </w:r>
      <w:r>
        <w:t xml:space="preserve"> </w:t>
      </w:r>
      <w:r>
        <w:t xml:space="preserve">Accelerating the adoption of smart classrooms and e-learning platforms to prepare students for a tech-driven workforce.</w:t>
      </w:r>
    </w:p>
    <w:p>
      <w:pPr>
        <w:numPr>
          <w:ilvl w:val="0"/>
          <w:numId w:val="1001"/>
        </w:numPr>
        <w:pStyle w:val="Compact"/>
      </w:pPr>
      <w:r>
        <w:rPr>
          <w:bCs/>
          <w:b/>
        </w:rPr>
        <w:t xml:space="preserve">Critical Thinking Over Rote Learning:</w:t>
      </w:r>
      <w:r>
        <w:t xml:space="preserve"> </w:t>
      </w:r>
      <w:r>
        <w:t xml:space="preserve">Shifting pedagogical approaches from memorization-based models to inquiry-based learning that fosters innovation.</w:t>
      </w:r>
    </w:p>
    <w:p>
      <w:pPr>
        <w:numPr>
          <w:ilvl w:val="0"/>
          <w:numId w:val="1001"/>
        </w:numPr>
        <w:pStyle w:val="Compact"/>
      </w:pPr>
      <w:r>
        <w:rPr>
          <w:bCs/>
          <w:b/>
        </w:rPr>
        <w:t xml:space="preserve">Cultural Preservation:</w:t>
      </w:r>
      <w:r>
        <w:t xml:space="preserve"> </w:t>
      </w:r>
      <w:r>
        <w:t xml:space="preserve">Ensuring that while global competencies are developed, the Islamic and Arab heritage remains integral to the curriculum and school culture.</w:t>
      </w:r>
    </w:p>
    <w:p>
      <w:pPr>
        <w:pStyle w:val="FirstParagraph"/>
      </w:pPr>
      <w:r>
        <w:t xml:space="preserve">The Education Administrator is tasked with balancing these often-competing demands. They must secure funding for technological upgrades while simultaneously investing in teacher training that respects local cultural nuances. This balancing act requires a nuanced understanding of both global educational trends and local societal expectations.</w:t>
      </w:r>
    </w:p>
    <w:bookmarkEnd w:id="22"/>
    <w:bookmarkStart w:id="26" w:name="X21dfef42284f9b492181092159f4170990076d7"/>
    <w:p>
      <w:pPr>
        <w:pStyle w:val="Heading2"/>
      </w:pPr>
      <w:r>
        <w:t xml:space="preserve">3. Key Challenges Facing Education Administrators</w:t>
      </w:r>
    </w:p>
    <w:bookmarkStart w:id="23" w:name="bridging-the-digital-divide"/>
    <w:p>
      <w:pPr>
        <w:pStyle w:val="Heading3"/>
      </w:pPr>
      <w:r>
        <w:t xml:space="preserve">3.1 Bridging the Digital Divide</w:t>
      </w:r>
    </w:p>
    <w:p>
      <w:pPr>
        <w:pStyle w:val="FirstParagraph"/>
      </w:pPr>
      <w:r>
        <w:t xml:space="preserve">In Kuwait City, while infrastructure is generally robust, the implementation of technology varies significantly between private and public institutions, as well as among schools in different districts. The Education Administrator must lead initiatives to ensure equitable access to digital resources. This involves not only purchasing hardware but also ensuring that teachers are competent in using these tools effectively. A significant challenge is overcoming resistance to change among staff who may be accustomed to traditional teaching methods.</w:t>
      </w:r>
    </w:p>
    <w:bookmarkEnd w:id="23"/>
    <w:bookmarkStart w:id="24" w:name="talent-management-and-retention"/>
    <w:p>
      <w:pPr>
        <w:pStyle w:val="Heading3"/>
      </w:pPr>
      <w:r>
        <w:t xml:space="preserve">3.2 Talent Management and Retention</w:t>
      </w:r>
    </w:p>
    <w:p>
      <w:pPr>
        <w:pStyle w:val="FirstParagraph"/>
      </w:pPr>
      <w:r>
        <w:t xml:space="preserve">The quality of education is directly linked to the quality of its educators. Education Administrators in Kuwait City face the dual challenge of recruiting top-tier local talent and managing a diverse workforce that includes expatriate teachers. Retaining high-performing staff requires creating a supportive work environment, offering professional development opportunities, and ensuring competitive compensation packages. Furthermore, administrators must navigate complex labor laws and cultural expectations regarding staff welfare.</w:t>
      </w:r>
    </w:p>
    <w:bookmarkEnd w:id="24"/>
    <w:bookmarkStart w:id="25" w:name="stakeholder-engagement"/>
    <w:p>
      <w:pPr>
        <w:pStyle w:val="Heading3"/>
      </w:pPr>
      <w:r>
        <w:t xml:space="preserve">3.3 Stakeholder Engagement</w:t>
      </w:r>
    </w:p>
    <w:p>
      <w:pPr>
        <w:pStyle w:val="FirstParagraph"/>
      </w:pPr>
      <w:r>
        <w:t xml:space="preserve">In Kuwaiti society, the family plays a central role in education. Parents are highly engaged and often have strong opinions about school policies. The Education Administrator must act as a liaison between the school administration and the parent community. This requires exceptional communication skills and emotional intelligence to manage expectations, resolve conflicts, and build trust. Failure to engage stakeholders effectively can lead to reputational damage for the institution.</w:t>
      </w:r>
    </w:p>
    <w:bookmarkEnd w:id="25"/>
    <w:bookmarkEnd w:id="26"/>
    <w:bookmarkStart w:id="27" w:name="X8498aa9fa49f3b089ad3089580665806ac8fb50"/>
    <w:p>
      <w:pPr>
        <w:pStyle w:val="Heading2"/>
      </w:pPr>
      <w:r>
        <w:t xml:space="preserve">4. A Strategic Framework for Administrative Excellence</w:t>
      </w:r>
    </w:p>
    <w:p>
      <w:pPr>
        <w:pStyle w:val="FirstParagraph"/>
      </w:pPr>
      <w:r>
        <w:t xml:space="preserve">To address these challenges, this paper proposes a strategic framework tailored for the Education Administrator in Kuwait City. This framework consists of three core pillars:</w:t>
      </w:r>
    </w:p>
    <w:p>
      <w:pPr>
        <w:numPr>
          <w:ilvl w:val="0"/>
          <w:numId w:val="1002"/>
        </w:numPr>
        <w:pStyle w:val="Compact"/>
      </w:pPr>
      <w:r>
        <w:rPr>
          <w:bCs/>
          <w:b/>
        </w:rPr>
        <w:t xml:space="preserve">Data-Driven Decision Making:</w:t>
      </w:r>
      <w:r>
        <w:t xml:space="preserve"> </w:t>
      </w:r>
      <w:r>
        <w:t xml:space="preserve">Administrators must utilize learning management systems and analytics to monitor student performance and teacher effectiveness. By moving away from intuition-based management, schools can identify gaps in learning outcomes early and intervene effectively.</w:t>
      </w:r>
    </w:p>
    <w:p>
      <w:pPr>
        <w:numPr>
          <w:ilvl w:val="0"/>
          <w:numId w:val="1002"/>
        </w:numPr>
        <w:pStyle w:val="Compact"/>
      </w:pPr>
      <w:r>
        <w:rPr>
          <w:bCs/>
          <w:b/>
        </w:rPr>
        <w:t xml:space="preserve">Culturally Responsive Leadership:</w:t>
      </w:r>
      <w:r>
        <w:t xml:space="preserve"> </w:t>
      </w:r>
      <w:r>
        <w:t xml:space="preserve">Policies should not be imported wholesale from Western models. Instead, Administrators must adapt global best practices to fit the Kuwaiti context. This includes incorporating Islamic ethics into leadership training and ensuring that curriculum adaptations respect local traditions while promoting inclusivity.</w:t>
      </w:r>
    </w:p>
    <w:p>
      <w:pPr>
        <w:numPr>
          <w:ilvl w:val="0"/>
          <w:numId w:val="1002"/>
        </w:numPr>
        <w:pStyle w:val="Compact"/>
      </w:pPr>
      <w:r>
        <w:rPr>
          <w:bCs/>
          <w:b/>
        </w:rPr>
        <w:t xml:space="preserve">Sustainable Professional Development:</w:t>
      </w:r>
      <w:r>
        <w:t xml:space="preserve"> </w:t>
      </w:r>
      <w:r>
        <w:t xml:space="preserve">Continuous learning should be institutionalized. Education Administrators should establish partnerships with universities in Kuwait City, such as the University of Kuwait or American University of Beirut, to create tailored professional development programs for their staff. This fosters a culture of lifelong learning that permeates the entire organization.</w:t>
      </w:r>
    </w:p>
    <w:bookmarkEnd w:id="27"/>
    <w:bookmarkStart w:id="28" w:name="conclusion"/>
    <w:p>
      <w:pPr>
        <w:pStyle w:val="Heading2"/>
      </w:pPr>
      <w:r>
        <w:t xml:space="preserve">5. Conclusion</w:t>
      </w:r>
    </w:p>
    <w:p>
      <w:pPr>
        <w:pStyle w:val="FirstParagraph"/>
      </w:pPr>
      <w:r>
        <w:t xml:space="preserve">The role of the Education Administrator in Kuwait City is undergoing a profound transformation. No longer confined to administrative oversight, these leaders are now expected to be visionaries, technocrats, and cultural stewards. As Kuwait moves toward its 2035 goals, the ability of administrators to navigate complexity, drive innovation, and engage stakeholders will determine the success of the nation's educational reform agenda.</w:t>
      </w:r>
    </w:p>
    <w:p>
      <w:pPr>
        <w:pStyle w:val="BodyText"/>
      </w:pPr>
      <w:r>
        <w:t xml:space="preserve">Policymakers must support these administrators by providing clearer guidelines on autonomy and accountability. Educational institutions must invest in leadership development programs that equip current and future administrators with the necessary skills for this new era. By empowering Education Administrators, Kuwait City can ensure that its educational system remains a beacon of quality, relevance, and cultural integrity in the region.</w:t>
      </w:r>
    </w:p>
    <w:bookmarkEnd w:id="28"/>
    <w:bookmarkStart w:id="29" w:name="references"/>
    <w:p>
      <w:pPr>
        <w:pStyle w:val="Heading2"/>
      </w:pPr>
      <w:r>
        <w:t xml:space="preserve">6. References</w:t>
      </w:r>
    </w:p>
    <w:p>
      <w:pPr>
        <w:pStyle w:val="FirstParagraph"/>
      </w:pPr>
      <w:r>
        <w:rPr>
          <w:iCs/>
          <w:i/>
        </w:rPr>
        <w:t xml:space="preserve">(Note: In a formal submission, detailed academic citations would follow APA style here.)</w:t>
      </w:r>
    </w:p>
    <w:p>
      <w:pPr>
        <w:numPr>
          <w:ilvl w:val="0"/>
          <w:numId w:val="1003"/>
        </w:numPr>
        <w:pStyle w:val="Compact"/>
      </w:pPr>
      <w:r>
        <w:t xml:space="preserve">Kuwait Ministry of Education. (2021).</w:t>
      </w:r>
      <w:r>
        <w:t xml:space="preserve"> </w:t>
      </w:r>
      <w:r>
        <w:rPr>
          <w:bCs/>
          <w:b/>
        </w:rPr>
        <w:t xml:space="preserve">National Strategy for the Development of Kuwaiti Education.</w:t>
      </w:r>
    </w:p>
    <w:p>
      <w:pPr>
        <w:numPr>
          <w:ilvl w:val="0"/>
          <w:numId w:val="1003"/>
        </w:numPr>
        <w:pStyle w:val="Compact"/>
      </w:pPr>
      <w:r>
        <w:t xml:space="preserve">Council for American Overseas School Directors. (2019).</w:t>
      </w:r>
      <w:r>
        <w:t xml:space="preserve"> </w:t>
      </w:r>
      <w:r>
        <w:rPr>
          <w:bCs/>
          <w:b/>
        </w:rPr>
        <w:t xml:space="preserve">Educational Leadership in the Gulf Region.</w:t>
      </w:r>
    </w:p>
    <w:p>
      <w:pPr>
        <w:numPr>
          <w:ilvl w:val="0"/>
          <w:numId w:val="1003"/>
        </w:numPr>
        <w:pStyle w:val="Compact"/>
      </w:pPr>
      <w:r>
        <w:t xml:space="preserve">Al-Sabah, K. &amp; Al-Awadi, M. (2022). "Challenges of Digital Transformation in Kuwait City Schools."</w:t>
      </w:r>
      <w:r>
        <w:t xml:space="preserve"> </w:t>
      </w:r>
      <w:r>
        <w:rPr>
          <w:iCs/>
          <w:i/>
        </w:rPr>
        <w:t xml:space="preserve">Journal of Arab Educational Administration</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Education Administrator in Kuwait City: Navigating Vision 2035</dc:title>
  <dc:creator/>
  <dc:language>en</dc:language>
  <cp:keywords/>
  <dcterms:created xsi:type="dcterms:W3CDTF">2026-07-29T14:05:11Z</dcterms:created>
  <dcterms:modified xsi:type="dcterms:W3CDTF">2026-07-29T14:05:11Z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