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Netherlands</w:t>
      </w:r>
      <w:r>
        <w:t xml:space="preserve"> </w:t>
      </w:r>
      <w:r>
        <w:t xml:space="preserve">Amsterdam:</w:t>
      </w:r>
      <w:r>
        <w:t xml:space="preserve"> </w:t>
      </w:r>
      <w:r>
        <w:t xml:space="preserve">Navigating</w:t>
      </w:r>
      <w:r>
        <w:t xml:space="preserve"> </w:t>
      </w:r>
      <w:r>
        <w:t xml:space="preserve">Modern</w:t>
      </w:r>
      <w:r>
        <w:t xml:space="preserve"> </w:t>
      </w:r>
      <w:r>
        <w:t xml:space="preserve">Challenges</w:t>
      </w:r>
    </w:p>
    <w:bookmarkStart w:id="28" w:name="X3a089f3ca511de47c10ac7687fdd0ebe6091360"/>
    <w:p>
      <w:pPr>
        <w:pStyle w:val="Heading1"/>
      </w:pPr>
      <w:r>
        <w:t xml:space="preserve">The Strategic Role of the Education Administrator in Netherlands Amsterdam</w:t>
      </w:r>
      <w:r>
        <w:br/>
      </w:r>
      <w:r>
        <w:t xml:space="preserve">Navigating Systemic Complexity and Digital Transformation</w:t>
      </w:r>
    </w:p>
    <w:p>
      <w:pPr>
        <w:pStyle w:val="FirstParagraph"/>
      </w:pPr>
      <w:r>
        <w:rPr>
          <w:bCs/>
          <w:b/>
        </w:rPr>
        <w:t xml:space="preserve">Author:</w:t>
      </w:r>
      <w:r>
        <w:t xml:space="preserve"> </w:t>
      </w:r>
      <w:r>
        <w:t xml:space="preserve">Dr. J. van der Meer</w:t>
      </w:r>
      <w:r>
        <w:br/>
      </w:r>
      <w:r>
        <w:rPr>
          <w:iCs/>
          <w:i/>
        </w:rPr>
        <w:t xml:space="preserve">Affiliation:</w:t>
      </w:r>
      <w:r>
        <w:t xml:space="preserve"> </w:t>
      </w:r>
      <w:r>
        <w:t xml:space="preserve">Institute for Educational Leadership, Netherlands Amsterdam</w:t>
      </w:r>
    </w:p>
    <w:p>
      <w:pPr>
        <w:pStyle w:val="BodyText"/>
      </w:pPr>
      <w:r>
        <w:rPr>
          <w:bCs/>
          <w:b/>
        </w:rPr>
        <w:t xml:space="preserve">Date:</w:t>
      </w:r>
      <w:r>
        <w:t xml:space="preserve"> </w:t>
      </w:r>
      <w:r>
        <w:t xml:space="preserve">October 2023</w:t>
      </w:r>
    </w:p>
    <w:p>
      <w:pPr>
        <w:pStyle w:val="BodyText"/>
      </w:pPr>
      <w:r>
        <w:t xml:space="preserve">.abstract-box { background-color: #f9f9f9; padding: 15px; border-left: 4px solid #003366; margin-bottom: 20px;}</w:t>
      </w:r>
    </w:p>
    <w:bookmarkStart w:id="20" w:name="abstract"/>
    <w:p>
      <w:pPr>
        <w:pStyle w:val="Heading2"/>
      </w:pPr>
      <w:r>
        <w:t xml:space="preserve">Abstract</w:t>
      </w:r>
    </w:p>
    <w:p>
      <w:pPr>
        <w:pStyle w:val="FirstParagraph"/>
      </w:pPr>
      <w:r>
        <w:t xml:space="preserve">.abstract-box { background-color: #f9f9f9; padding: 15px; border-left: 4px solid #003366; margin-bottom: 20px;}</w:t>
      </w:r>
    </w:p>
    <w:p>
      <w:pPr>
        <w:pStyle w:val="BodyText"/>
      </w:pPr>
      <w:r>
        <w:t xml:space="preserve">This conference paper examines the evolving responsibilities of the</w:t>
      </w:r>
      <w:r>
        <w:t xml:space="preserve"> </w:t>
      </w:r>
      <w:r>
        <w:rPr>
          <w:bCs/>
          <w:b/>
        </w:rPr>
        <w:t xml:space="preserve">Education Administrator</w:t>
      </w:r>
      <w:r>
        <w:t xml:space="preserve"> </w:t>
      </w:r>
      <w:r>
        <w:t xml:space="preserve">within the unique socio-educational landscape of</w:t>
      </w:r>
      <w:r>
        <w:t xml:space="preserve"> </w:t>
      </w:r>
      <w:r>
        <w:rPr>
          <w:bCs/>
          <w:b/>
        </w:rPr>
        <w:t xml:space="preserve">Netherlands Amsterdam</w:t>
      </w:r>
      <w:r>
        <w:t xml:space="preserve">. As urban centers globally face pressures from digitalization, demographic shifts, and equity demands, local administrators in Amsterdam must balance national policy mandates with hyper-local community needs. This study analyzes how effective administration in this specific context requires not only managerial competence but also strategic foresight and cultural agility. By reviewing recent case studies from primary and secondary institutions in the region, we argue that the modern</w:t>
      </w:r>
      <w:r>
        <w:t xml:space="preserve"> </w:t>
      </w:r>
      <w:r>
        <w:rPr>
          <w:bCs/>
          <w:b/>
        </w:rPr>
        <w:t xml:space="preserve">Education Administrator</w:t>
      </w:r>
      <w:r>
        <w:t xml:space="preserve"> </w:t>
      </w:r>
      <w:r>
        <w:t xml:space="preserve">serves as a critical bridge between government policy, pedagogical innovation, and community engagement. The findings suggest that specialized training for administrators in</w:t>
      </w:r>
      <w:r>
        <w:t xml:space="preserve"> </w:t>
      </w:r>
      <w:r>
        <w:rPr>
          <w:bCs/>
          <w:b/>
        </w:rPr>
        <w:t xml:space="preserve">Netherlands Amsterdam</w:t>
      </w:r>
      <w:r>
        <w:t xml:space="preserve"> </w:t>
      </w:r>
      <w:r>
        <w:t xml:space="preserve">is essential to maintain the high standards of educational excellence associated with Dutch public education.</w:t>
      </w:r>
    </w:p>
    <w:p>
      <w:pPr>
        <w:pStyle w:val="BodyText"/>
      </w:pPr>
      <w:r>
        <w:t xml:space="preserve">.abstract-box { background-color: #f9f9f9; padding: 15px; border-left: 4px solid #003366; margin-bottom: 20px;}</w:t>
      </w:r>
    </w:p>
    <w:bookmarkEnd w:id="20"/>
    <w:bookmarkStart w:id="21" w:name="introduction"/>
    <w:p>
      <w:pPr>
        <w:pStyle w:val="Heading2"/>
      </w:pPr>
      <w:r>
        <w:t xml:space="preserve">Introduction</w:t>
      </w:r>
    </w:p>
    <w:p>
      <w:pPr>
        <w:pStyle w:val="FirstParagraph"/>
      </w:pPr>
      <w:r>
        <w:t xml:space="preserve">.abstract-box { background-color: #f9f9f9; padding: 15px; border-left: 4px solid #003366; margin-bottom: 20px;}</w:t>
      </w:r>
    </w:p>
    <w:p>
      <w:pPr>
        <w:pStyle w:val="BodyText"/>
      </w:pPr>
      <w:r>
        <w:t xml:space="preserve">The educational ecosystem in the Netherlands is renowned for its robust structure, equitable access, and high-quality outcomes. However, within this framework lies a complex web of administrative responsibilities that are particularly intensified in metropolitan hubs.</w:t>
      </w:r>
      <w:r>
        <w:t xml:space="preserve"> </w:t>
      </w:r>
      <w:r>
        <w:rPr>
          <w:bCs/>
          <w:b/>
        </w:rPr>
        <w:t xml:space="preserve">Netherlands Amsterdam</w:t>
      </w:r>
      <w:r>
        <w:t xml:space="preserve">, as the capital and largest city, presents a distinct set of challenges and opportunities for educational institutions. The density of the population, the diversity of its student body, and the rapid pace of technological integration create a dynamic environment where traditional administrative models are insufficient.</w:t>
      </w:r>
    </w:p>
    <w:p>
      <w:pPr>
        <w:pStyle w:val="BodyText"/>
      </w:pPr>
      <w:r>
        <w:t xml:space="preserve">.abstract-box { background-color: #f9f9f9; padding: 15px; border-left: 4px solid #003366; margin-bottom: 20px;}</w:t>
      </w:r>
    </w:p>
    <w:p>
      <w:pPr>
        <w:pStyle w:val="BodyText"/>
      </w:pPr>
      <w:r>
        <w:t xml:space="preserve">The role of the</w:t>
      </w:r>
      <w:r>
        <w:t xml:space="preserve"> </w:t>
      </w:r>
      <w:r>
        <w:rPr>
          <w:bCs/>
          <w:b/>
        </w:rPr>
        <w:t xml:space="preserve">Education Administrator</w:t>
      </w:r>
      <w:r>
        <w:t xml:space="preserve"> </w:t>
      </w:r>
      <w:r>
        <w:t xml:space="preserve">has transcended its historical roots as a mere bureaucratic overseer. In contemporary discourse, particularly within the context of</w:t>
      </w:r>
      <w:r>
        <w:t xml:space="preserve"> </w:t>
      </w:r>
      <w:r>
        <w:rPr>
          <w:bCs/>
          <w:b/>
        </w:rPr>
        <w:t xml:space="preserve">Netherlands Amsterdam</w:t>
      </w:r>
      <w:r>
        <w:t xml:space="preserve">, the administrator is recognized as a change agent. This paper aims to delineate these expanded roles, focusing on three core pillars: regulatory compliance and policy implementation, resource optimization in high-cost urban environments, and fostering inclusive community partnerships.</w:t>
      </w:r>
    </w:p>
    <w:p>
      <w:pPr>
        <w:pStyle w:val="BodyText"/>
      </w:pPr>
      <w:r>
        <w:t xml:space="preserve">.abstract-box { background-color: #f9f9f9; padding: 15px; border-left: 4px solid #003366; margin-bottom: 20px;}</w:t>
      </w:r>
    </w:p>
    <w:bookmarkEnd w:id="21"/>
    <w:bookmarkStart w:id="22" w:name="Xbab1a3833f6e387276bded2e43529a7bc9a9ff4"/>
    <w:p>
      <w:pPr>
        <w:pStyle w:val="Heading2"/>
      </w:pPr>
      <w:r>
        <w:t xml:space="preserve">The Unique Context of Netherlands Amsterdam</w:t>
      </w:r>
    </w:p>
    <w:p>
      <w:pPr>
        <w:pStyle w:val="FirstParagraph"/>
      </w:pPr>
      <w:r>
        <w:t xml:space="preserve">.abstract-box { background-color: #f9f9f9; padding: 15px; border-left: 4px solid #003366; margin-bottom: 20px;}</w:t>
      </w:r>
    </w:p>
    <w:p>
      <w:pPr>
        <w:pStyle w:val="BodyText"/>
      </w:pPr>
      <w:r>
        <w:t xml:space="preserve">To understand the specific demands placed on an</w:t>
      </w:r>
      <w:r>
        <w:t xml:space="preserve"> </w:t>
      </w:r>
      <w:r>
        <w:rPr>
          <w:bCs/>
          <w:b/>
        </w:rPr>
        <w:t xml:space="preserve">Education Administrator</w:t>
      </w:r>
      <w:r>
        <w:t xml:space="preserve">, one must first appreciate the unique characteristics of</w:t>
      </w:r>
      <w:r>
        <w:t xml:space="preserve"> </w:t>
      </w:r>
      <w:r>
        <w:rPr>
          <w:bCs/>
          <w:b/>
        </w:rPr>
        <w:t xml:space="preserve">Netherlands Amsterdam</w:t>
      </w:r>
      <w:r>
        <w:t xml:space="preserve">. The city is a microcosm of global trends, characterized by multiculturalism and rapid gentrification. Schools in this region serve a highly diverse student population, ranging from established local families to transient international communities. This diversity requires an administrative approach that is not only linguistically proficient but also culturally competent.</w:t>
      </w:r>
    </w:p>
    <w:p>
      <w:pPr>
        <w:pStyle w:val="BodyText"/>
      </w:pPr>
      <w:r>
        <w:t xml:space="preserve">.abstract-box { background-color: #f9f9f9; padding: 15px; border-left: 4px solid #003366; margin-bottom: 20px;}</w:t>
      </w:r>
    </w:p>
    <w:p>
      <w:pPr>
        <w:pStyle w:val="BodyText"/>
      </w:pPr>
      <w:r>
        <w:t xml:space="preserve">Furthermore, the physical infrastructure of schools in Amsterdam often reflects the city's historic architecture, leading to logistical challenges regarding space and modernization. The</w:t>
      </w:r>
      <w:r>
        <w:t xml:space="preserve"> </w:t>
      </w:r>
      <w:r>
        <w:rPr>
          <w:bCs/>
          <w:b/>
        </w:rPr>
        <w:t xml:space="preserve">Education Administrator</w:t>
      </w:r>
      <w:r>
        <w:t xml:space="preserve"> </w:t>
      </w:r>
      <w:r>
        <w:t xml:space="preserve">must navigate strict preservation laws while ensuring that learning environments meet modern safety and digital standards. This tension between heritage conservation and functional utility is a defining feature of administrative work in</w:t>
      </w:r>
      <w:r>
        <w:t xml:space="preserve"> </w:t>
      </w:r>
      <w:r>
        <w:rPr>
          <w:bCs/>
          <w:b/>
        </w:rPr>
        <w:t xml:space="preserve">Netherlands Amsterdam</w:t>
      </w:r>
      <w:r>
        <w:t xml:space="preserve">. Unlike rural or suburban counterparts, administrators here must engage in complex facility management strategies that maximize limited square footage while creating inclusive spaces for all learners.</w:t>
      </w:r>
    </w:p>
    <w:p>
      <w:pPr>
        <w:pStyle w:val="BodyText"/>
      </w:pPr>
      <w:r>
        <w:t xml:space="preserve">.abstract-box { background-color: #f9f9f9; padding: 15px; border-left: 4px solid #003366; margin-bottom: 20px;}</w:t>
      </w:r>
    </w:p>
    <w:bookmarkEnd w:id="22"/>
    <w:bookmarkStart w:id="23" w:name="Xd40b2c1ea775fae78c459cc31f11d793281bcb1"/>
    <w:p>
      <w:pPr>
        <w:pStyle w:val="Heading2"/>
      </w:pPr>
      <w:r>
        <w:t xml:space="preserve">Strategic Resource Management and Financial Sustainability</w:t>
      </w:r>
    </w:p>
    <w:p>
      <w:pPr>
        <w:pStyle w:val="FirstParagraph"/>
      </w:pPr>
      <w:r>
        <w:t xml:space="preserve">.abstract-box { background-color: #f9f9f9; padding: 15px; border-left: 4px solid #003366; margin-bottom: 20px;}</w:t>
      </w:r>
    </w:p>
    <w:p>
      <w:pPr>
        <w:pStyle w:val="BodyText"/>
      </w:pPr>
      <w:r>
        <w:t xml:space="preserve">Financial stewardship is a critical component of the</w:t>
      </w:r>
      <w:r>
        <w:t xml:space="preserve"> </w:t>
      </w:r>
      <w:r>
        <w:rPr>
          <w:bCs/>
          <w:b/>
        </w:rPr>
        <w:t xml:space="preserve">Education Administrator</w:t>
      </w:r>
      <w:r>
        <w:t xml:space="preserve">'s portfolio. In</w:t>
      </w:r>
      <w:r>
        <w:t xml:space="preserve"> </w:t>
      </w:r>
      <w:r>
        <w:rPr>
          <w:bCs/>
          <w:b/>
        </w:rPr>
        <w:t xml:space="preserve">Netherlands Amsterdam</w:t>
      </w:r>
      <w:r>
        <w:t xml:space="preserve">, operational costs are among the highest in the country. Real estate, energy, and labor expenses significantly impact school budgets. Consequently, administrators must adopt innovative financial models to sustain educational quality without imposing undue burdens on tuition fees or public subsidies.</w:t>
      </w:r>
    </w:p>
    <w:p>
      <w:pPr>
        <w:pStyle w:val="BodyText"/>
      </w:pPr>
      <w:r>
        <w:t xml:space="preserve">.abstract-box { background-color: #f9f9f9; padding: 15px; border-left: 4px solid #003366; margin-bottom: 20px;}</w:t>
      </w:r>
    </w:p>
    <w:p>
      <w:pPr>
        <w:pStyle w:val="BodyText"/>
      </w:pPr>
      <w:r>
        <w:t xml:space="preserve">This involves rigorous budget forecasting, strategic procurement, and seeking external funding through grants and partnerships. For instance, many institutions in the city collaborate with local businesses and cultural organizations to secure sponsorship for STEM initiatives or arts programs. The</w:t>
      </w:r>
      <w:r>
        <w:t xml:space="preserve"> </w:t>
      </w:r>
      <w:r>
        <w:rPr>
          <w:bCs/>
          <w:b/>
        </w:rPr>
        <w:t xml:space="preserve">Education Administrator</w:t>
      </w:r>
      <w:r>
        <w:t xml:space="preserve"> </w:t>
      </w:r>
      <w:r>
        <w:t xml:space="preserve">acts as the primary liaison in these negotiations, ensuring that external funding aligns with pedagogical goals rather than commercial interests. Moreover, transparency in financial reporting is paramount to maintain trust among parents, the municipal council, and educational boards. In this sense, the administrator serves as a guardian of public trust within the</w:t>
      </w:r>
      <w:r>
        <w:t xml:space="preserve"> </w:t>
      </w:r>
      <w:r>
        <w:rPr>
          <w:bCs/>
          <w:b/>
        </w:rPr>
        <w:t xml:space="preserve">Netherlands Amsterdam</w:t>
      </w:r>
      <w:r>
        <w:t xml:space="preserve"> </w:t>
      </w:r>
      <w:r>
        <w:t xml:space="preserve">educational sector.</w:t>
      </w:r>
    </w:p>
    <w:p>
      <w:pPr>
        <w:pStyle w:val="BodyText"/>
      </w:pPr>
      <w:r>
        <w:t xml:space="preserve">.abstract-box { background-color: #f9f9f9; padding: 15px; border-left: 4px solid #003366; margin-bottom: 20px;}</w:t>
      </w:r>
    </w:p>
    <w:bookmarkEnd w:id="23"/>
    <w:bookmarkStart w:id="24" w:name="X6678281c9700d1675d4821de11d51b828696f74"/>
    <w:p>
      <w:pPr>
        <w:pStyle w:val="Heading2"/>
      </w:pPr>
      <w:r>
        <w:t xml:space="preserve">Digital Transformation and Administrative Agility</w:t>
      </w:r>
    </w:p>
    <w:p>
      <w:pPr>
        <w:pStyle w:val="FirstParagraph"/>
      </w:pPr>
      <w:r>
        <w:t xml:space="preserve">.abstract-box { background-color: #f9f9f9; padding: 15px; border-left: 4px solid #003366; margin-bottom: 20px;}</w:t>
      </w:r>
    </w:p>
    <w:p>
      <w:pPr>
        <w:pStyle w:val="BodyText"/>
      </w:pPr>
      <w:r>
        <w:t xml:space="preserve">The rapid acceleration of digital technologies has fundamentally altered the administrative landscape. For the</w:t>
      </w:r>
      <w:r>
        <w:t xml:space="preserve"> </w:t>
      </w:r>
      <w:r>
        <w:rPr>
          <w:bCs/>
          <w:b/>
        </w:rPr>
        <w:t xml:space="preserve">Education Administrator</w:t>
      </w:r>
      <w:r>
        <w:t xml:space="preserve"> </w:t>
      </w:r>
      <w:r>
        <w:t xml:space="preserve">in</w:t>
      </w:r>
      <w:r>
        <w:t xml:space="preserve"> </w:t>
      </w:r>
      <w:r>
        <w:rPr>
          <w:bCs/>
          <w:b/>
        </w:rPr>
        <w:t xml:space="preserve">Netherlands Amsterdam</w:t>
      </w:r>
      <w:r>
        <w:t xml:space="preserve">, digital literacy is no longer optional; it is a core competency. The integration of Learning Management Systems (LMS), Student Information Systems (SIS), and data analytics platforms requires administrators who can oversee implementation with minimal disruption to teaching activities.</w:t>
      </w:r>
    </w:p>
    <w:p>
      <w:pPr>
        <w:pStyle w:val="BodyText"/>
      </w:pPr>
      <w:r>
        <w:t xml:space="preserve">.abstract-box { background-color: #f9f9f9; padding: 15px; border-left: 4px solid #003366; margin-bottom: 20px;}</w:t>
      </w:r>
    </w:p>
    <w:p>
      <w:pPr>
        <w:pStyle w:val="BodyText"/>
      </w:pPr>
      <w:r>
        <w:t xml:space="preserve">Effective administration in this domain involves more than just purchasing software. It requires a holistic change management strategy. Administrators must train staff, ensure data privacy compliance with GDPR standards, and facilitate digital equity among students who may lack access to technology at home. In the context of</w:t>
      </w:r>
      <w:r>
        <w:t xml:space="preserve"> </w:t>
      </w:r>
      <w:r>
        <w:rPr>
          <w:bCs/>
          <w:b/>
        </w:rPr>
        <w:t xml:space="preserve">Netherlands Amsterdam</w:t>
      </w:r>
      <w:r>
        <w:t xml:space="preserve">, where digital infrastructure is generally robust, the challenge lies in utilizing these tools to enhance personalized learning rather than merely digitizing traditional methods. The administrator must champion a vision where technology supports human interaction, not replaces it.</w:t>
      </w:r>
    </w:p>
    <w:p>
      <w:pPr>
        <w:pStyle w:val="BodyText"/>
      </w:pPr>
      <w:r>
        <w:t xml:space="preserve">.abstract-box { background-color: #f9f9f9; padding: 15px; border-left: 4px solid #003366; margin-bottom: 20px;}</w:t>
      </w:r>
    </w:p>
    <w:bookmarkEnd w:id="24"/>
    <w:bookmarkStart w:id="25" w:name="fostering-community-and-equity"/>
    <w:p>
      <w:pPr>
        <w:pStyle w:val="Heading2"/>
      </w:pPr>
      <w:r>
        <w:t xml:space="preserve">Fostering Community and Equity</w:t>
      </w:r>
    </w:p>
    <w:p>
      <w:pPr>
        <w:pStyle w:val="FirstParagraph"/>
      </w:pPr>
      <w:r>
        <w:t xml:space="preserve">.abstract-box { background-color: #f9f9f9; padding: 15px; border-left: 4px solid #003366; margin-bottom: 20px;}</w:t>
      </w:r>
    </w:p>
    <w:p>
      <w:pPr>
        <w:pStyle w:val="BodyText"/>
      </w:pPr>
      <w:r>
        <w:t xml:space="preserve">Perhaps the most nuanced role of the</w:t>
      </w:r>
      <w:r>
        <w:t xml:space="preserve"> </w:t>
      </w:r>
      <w:r>
        <w:rPr>
          <w:bCs/>
          <w:b/>
        </w:rPr>
        <w:t xml:space="preserve">Education Administrator</w:t>
      </w:r>
      <w:r>
        <w:t xml:space="preserve"> </w:t>
      </w:r>
      <w:r>
        <w:t xml:space="preserve">is that of community builder. In a city as diverse as</w:t>
      </w:r>
      <w:r>
        <w:t xml:space="preserve"> </w:t>
      </w:r>
      <w:r>
        <w:rPr>
          <w:bCs/>
          <w:b/>
        </w:rPr>
        <w:t xml:space="preserve">Netherlands Amsterdam</w:t>
      </w:r>
      <w:r>
        <w:t xml:space="preserve">, schools are often the central hubs for social cohesion. Administrators must engage with parents from varying cultural backgrounds, local neighborhood councils, and municipal welfare services to ensure that no student falls through the cracks.</w:t>
      </w:r>
    </w:p>
    <w:p>
      <w:pPr>
        <w:pStyle w:val="BodyText"/>
      </w:pPr>
      <w:r>
        <w:t xml:space="preserve">.abstract-box { background-color: #f9f9f9; padding: 15px; border-left: 4px solid #003366; margin-bottom: 20px;}</w:t>
      </w:r>
    </w:p>
    <w:p>
      <w:pPr>
        <w:pStyle w:val="BodyText"/>
      </w:pPr>
      <w:r>
        <w:t xml:space="preserve">This involves proactive outreach, multilingual communication strategies, and the development of support systems for at-risk youth. The administrator must work closely with school counselors and social workers to address non-academic barriers to learning, such as housing instability or language acquisition needs. By fostering a sense of belonging and safety within the school community, the</w:t>
      </w:r>
      <w:r>
        <w:t xml:space="preserve"> </w:t>
      </w:r>
      <w:r>
        <w:rPr>
          <w:bCs/>
          <w:b/>
        </w:rPr>
        <w:t xml:space="preserve">Education Administrator</w:t>
      </w:r>
      <w:r>
        <w:t xml:space="preserve"> </w:t>
      </w:r>
      <w:r>
        <w:t xml:space="preserve">contributes directly to improved student outcomes and social stability in</w:t>
      </w:r>
      <w:r>
        <w:t xml:space="preserve"> </w:t>
      </w:r>
      <w:r>
        <w:rPr>
          <w:bCs/>
          <w:b/>
        </w:rPr>
        <w:t xml:space="preserve">Netherlands Amsterdam</w:t>
      </w:r>
      <w:r>
        <w:t xml:space="preserve">.</w:t>
      </w:r>
    </w:p>
    <w:p>
      <w:pPr>
        <w:pStyle w:val="BodyText"/>
      </w:pPr>
      <w:r>
        <w:t xml:space="preserve">.abstract-box { background-color: #f9f9f9; padding: 15px; border-left: 4px solid #003366; margin-bottom: 20px;}</w:t>
      </w:r>
    </w:p>
    <w:bookmarkEnd w:id="25"/>
    <w:bookmarkStart w:id="26" w:name="conclusion"/>
    <w:p>
      <w:pPr>
        <w:pStyle w:val="Heading2"/>
      </w:pPr>
      <w:r>
        <w:t xml:space="preserve">Conclusion</w:t>
      </w:r>
    </w:p>
    <w:p>
      <w:pPr>
        <w:pStyle w:val="FirstParagraph"/>
      </w:pPr>
      <w:r>
        <w:t xml:space="preserve">.abstract-box { background-color: #f9f9zine; padding: 15px; border-left: 4px solid #003366; margin-bottom: 20px;}</w:t>
      </w:r>
    </w:p>
    <w:p>
      <w:pPr>
        <w:pStyle w:val="BodyText"/>
      </w:pPr>
      <w:r>
        <w:t xml:space="preserve">In conclusion, the position of the</w:t>
      </w:r>
      <w:r>
        <w:t xml:space="preserve"> </w:t>
      </w:r>
      <w:r>
        <w:rPr>
          <w:bCs/>
          <w:b/>
        </w:rPr>
        <w:t xml:space="preserve">Education Administrator</w:t>
      </w:r>
      <w:r>
        <w:t xml:space="preserve"> </w:t>
      </w:r>
      <w:r>
        <w:t xml:space="preserve">in</w:t>
      </w:r>
      <w:r>
        <w:t xml:space="preserve"> </w:t>
      </w:r>
      <w:r>
        <w:rPr>
          <w:bCs/>
          <w:b/>
        </w:rPr>
        <w:t xml:space="preserve">Netherlands Amsterdam</w:t>
      </w:r>
      <w:r>
        <w:t xml:space="preserve"> </w:t>
      </w:r>
      <w:r>
        <w:t xml:space="preserve">is one of immense responsibility and strategic importance. It requires a multifaceted skill set that encompasses financial acumen, technological proficiency, cultural sensitivity, and community leadership. As the educational landscape continues to evolve, administrators must remain adaptable and forward-thinking.</w:t>
      </w:r>
    </w:p>
    <w:p>
      <w:pPr>
        <w:pStyle w:val="BodyText"/>
      </w:pPr>
      <w:r>
        <w:t xml:space="preserve">.abstract-box { background-color: #f9f9f9; padding: 15px; border-left: 4px solid #003366; margin-bottom: 20px;}</w:t>
      </w:r>
    </w:p>
    <w:p>
      <w:pPr>
        <w:pStyle w:val="BodyText"/>
      </w:pPr>
      <w:r>
        <w:t xml:space="preserve">Future research should focus on the development of specialized training programs tailored to the specific needs of administrators in dense urban centers like</w:t>
      </w:r>
      <w:r>
        <w:t xml:space="preserve"> </w:t>
      </w:r>
      <w:r>
        <w:rPr>
          <w:bCs/>
          <w:b/>
        </w:rPr>
        <w:t xml:space="preserve">Netherlands Amsterdam</w:t>
      </w:r>
      <w:r>
        <w:t xml:space="preserve">. By investing in professional development and recognizing the strategic value of administrative leadership, stakeholders can ensure that schools remain resilient, inclusive, and excellent. The success of education systems globally often hinges on effective local administration; nowhere is this more evident than in the vibrant and complex educational environment of</w:t>
      </w:r>
      <w:r>
        <w:t xml:space="preserve"> </w:t>
      </w:r>
      <w:r>
        <w:rPr>
          <w:bCs/>
          <w:b/>
        </w:rPr>
        <w:t xml:space="preserve">Netherlands Amsterdam</w:t>
      </w:r>
      <w:r>
        <w:t xml:space="preserve">.</w:t>
      </w:r>
    </w:p>
    <w:p>
      <w:pPr>
        <w:pStyle w:val="BodyText"/>
      </w:pPr>
      <w:r>
        <w:t xml:space="preserve">.abstract-box { background-color: #f9f9f9; padding: 15px; border-left: 4px solid #003366; margin-bottom: 20px;}</w:t>
      </w:r>
    </w:p>
    <w:bookmarkEnd w:id="26"/>
    <w:bookmarkStart w:id="27" w:name="references"/>
    <w:p>
      <w:pPr>
        <w:pStyle w:val="Heading2"/>
      </w:pPr>
      <w:r>
        <w:t xml:space="preserve">References</w:t>
      </w:r>
    </w:p>
    <w:p>
      <w:pPr>
        <w:pStyle w:val="FirstParagraph"/>
      </w:pPr>
      <w:r>
        <w:t xml:space="preserve">.abstract-box { background-color: #f9zine; padding: 15px; border-left: 4px solid #003366; margin-bottom: 20px;}</w:t>
      </w:r>
    </w:p>
    <w:p>
      <w:pPr>
        <w:pStyle w:val="BodyText"/>
      </w:pPr>
      <w:r>
        <w:t xml:space="preserve">(Note: The following references are illustrative of the type of literature relevant to this topic.)</w:t>
      </w:r>
    </w:p>
    <w:p>
      <w:pPr>
        <w:numPr>
          <w:ilvl w:val="0"/>
          <w:numId w:val="1001"/>
        </w:numPr>
        <w:pStyle w:val="Compact"/>
      </w:pPr>
      <w:r>
        <w:t xml:space="preserve">Ministry of Education, Culture and Science. (2022).</w:t>
      </w:r>
      <w:r>
        <w:t xml:space="preserve"> </w:t>
      </w:r>
      <w:r>
        <w:rPr>
          <w:iCs/>
          <w:i/>
        </w:rPr>
        <w:t xml:space="preserve">Vision on Educational Leadership in the Netherlands</w:t>
      </w:r>
      <w:r>
        <w:t xml:space="preserve">. The Hague.</w:t>
      </w:r>
    </w:p>
    <w:p>
      <w:pPr>
        <w:numPr>
          <w:ilvl w:val="0"/>
          <w:numId w:val="1001"/>
        </w:numPr>
        <w:pStyle w:val="Compact"/>
      </w:pPr>
      <w:r>
        <w:t xml:space="preserve">Gemeente Amsterdam. (2021).</w:t>
      </w:r>
      <w:r>
        <w:t xml:space="preserve"> </w:t>
      </w:r>
      <w:r>
        <w:rPr>
          <w:iCs/>
          <w:i/>
        </w:rPr>
        <w:t xml:space="preserve">Integrated Education and Youth Policy Framework for Amsterdam</w:t>
      </w:r>
      <w:r>
        <w:t xml:space="preserve">. City of Amsterdam.</w:t>
      </w:r>
    </w:p>
    <w:p>
      <w:pPr>
        <w:numPr>
          <w:ilvl w:val="0"/>
          <w:numId w:val="1001"/>
        </w:numPr>
        <w:pStyle w:val="Compact"/>
      </w:pPr>
      <w:r>
        <w:t xml:space="preserve">De Haan, M., &amp; Jansen, E. (2023). "Urban School Administration in the Digital Age."</w:t>
      </w:r>
      <w:r>
        <w:t xml:space="preserve"> </w:t>
      </w:r>
      <w:r>
        <w:rPr>
          <w:iCs/>
          <w:i/>
        </w:rPr>
        <w:t xml:space="preserve">Journal of Educational Administration in Europe</w:t>
      </w:r>
      <w:r>
        <w:t xml:space="preserve">, 14(2), 45-67.</w:t>
      </w:r>
    </w:p>
    <w:p>
      <w:pPr>
        <w:numPr>
          <w:ilvl w:val="0"/>
          <w:numId w:val="1001"/>
        </w:numPr>
        <w:pStyle w:val="Compact"/>
      </w:pPr>
      <w:r>
        <w:t xml:space="preserve">Van der Veen, L. (2022). "Equity and Inclusion in Dutch Metropolitan Schools."</w:t>
      </w:r>
      <w:r>
        <w:t xml:space="preserve"> </w:t>
      </w:r>
      <w:r>
        <w:rPr>
          <w:iCs/>
          <w:i/>
        </w:rPr>
        <w:t xml:space="preserve">Dutch Review of Comparative Education</w:t>
      </w:r>
      <w:r>
        <w:t xml:space="preserve">,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Netherlands Amsterdam: Navigating Modern Challenges</dc:title>
  <dc:creator/>
  <dc:language>en</dc:language>
  <cp:keywords/>
  <dcterms:created xsi:type="dcterms:W3CDTF">2026-07-29T19:32:51Z</dcterms:created>
  <dcterms:modified xsi:type="dcterms:W3CDTF">2026-07-29T19:32:51Z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