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Education</w:t>
      </w:r>
      <w:r>
        <w:t xml:space="preserve"> </w:t>
      </w:r>
      <w:r>
        <w:t xml:space="preserve">Administrators</w:t>
      </w:r>
      <w:r>
        <w:t xml:space="preserve"> </w:t>
      </w:r>
      <w:r>
        <w:t xml:space="preserve">in</w:t>
      </w:r>
      <w:r>
        <w:t xml:space="preserve"> </w:t>
      </w:r>
      <w:r>
        <w:t xml:space="preserve">Thailand,</w:t>
      </w:r>
      <w:r>
        <w:t xml:space="preserve"> </w:t>
      </w:r>
      <w:r>
        <w:t xml:space="preserve">Bangkok</w:t>
      </w:r>
    </w:p>
    <w:bookmarkStart w:id="29" w:name="Xc14bac8c22efdf67479d816e1585720cc36c6e5"/>
    <w:p>
      <w:pPr>
        <w:pStyle w:val="Heading1"/>
      </w:pPr>
      <w:r>
        <w:t xml:space="preserve">The Evolution of Educational Leadership:</w:t>
      </w:r>
      <w:r>
        <w:br/>
      </w:r>
      <w:r>
        <w:t xml:space="preserve">A Strategic Framework for Education Administrators in Thailand, Bangkok</w:t>
      </w:r>
    </w:p>
    <w:p>
      <w:pPr>
        <w:pStyle w:val="FirstParagraph"/>
      </w:pPr>
      <w:r>
        <w:rPr>
          <w:bCs/>
          <w:b/>
        </w:rPr>
        <w:t xml:space="preserve">Abstract:</w:t>
      </w:r>
    </w:p>
    <w:p>
      <w:pPr>
        <w:pStyle w:val="BodyText"/>
      </w:pPr>
      <w:r>
        <w:t xml:space="preserve">This conference paper examines the evolving role of the Education Administrator within the unique socio-economic and cultural context of Thailand, with a specific focus on its capital city, Bangkok. As educational landscapes in Southeast Asia undergo rapid digital transformation and demographic shifts, traditional administrative models are proving insufficient. This study argues that modern Education Administrators in Thailand must transition from bureaucratic managers to strategic visionary leaders. By analyzing current challenges such as urban-rural disparity within the metropolitan area, the integration of AI-driven learning systems, and post-pandemic recovery strategies, this paper proposes a holistic leadership framework tailored for Bangkok’s educational institutions. The findings suggest that successful administration requires a blend of local cultural intelligence and global technological literacy.</w:t>
      </w:r>
    </w:p>
    <w:p>
      <w:pPr>
        <w:pStyle w:val="BodyText"/>
      </w:pPr>
      <w:r>
        <w:rPr>
          <w:bCs/>
          <w:b/>
        </w:rPr>
        <w:t xml:space="preserve">Keywords:</w:t>
      </w:r>
      <w:r>
        <w:t xml:space="preserve"> </w:t>
      </w:r>
      <w:r>
        <w:t xml:space="preserve">Education Administrator; Thailand; Bangkok; Educational Leadership; Digital Transformation; Strategic Management.</w:t>
      </w:r>
    </w:p>
    <w:bookmarkStart w:id="20" w:name="i.-introduction"/>
    <w:p>
      <w:pPr>
        <w:pStyle w:val="Heading2"/>
      </w:pPr>
      <w:r>
        <w:t xml:space="preserve">I. Introduction</w:t>
      </w:r>
    </w:p>
    <w:p>
      <w:pPr>
        <w:pStyle w:val="FirstParagraph"/>
      </w:pPr>
      <w:r>
        <w:t xml:space="preserve">The educational sector in Thailand stands at a critical juncture. As the nation strives to transition from a middle-income country to a high-income economy, the quality and accessibility of education have become paramount national priorities. Within this broader national context, Bangkok serves as both the engine of economic growth and the epicenter of educational innovation. However, it is also where systemic challenges are most pronounced. For any</w:t>
      </w:r>
      <w:r>
        <w:t xml:space="preserve"> </w:t>
      </w:r>
      <w:r>
        <w:rPr>
          <w:bCs/>
          <w:b/>
        </w:rPr>
        <w:t xml:space="preserve">Education Administrator</w:t>
      </w:r>
      <w:r>
        <w:t xml:space="preserve"> </w:t>
      </w:r>
      <w:r>
        <w:t xml:space="preserve">operating in this vibrant metropolis, the role has expanded far beyond simple resource allocation and personnel management.</w:t>
      </w:r>
    </w:p>
    <w:p>
      <w:pPr>
        <w:pStyle w:val="BodyText"/>
      </w:pPr>
      <w:r>
        <w:t xml:space="preserve">In recent years, the definition of leadership in education has shifted globally. No longer merely custodians of policy compliance,</w:t>
      </w:r>
      <w:r>
        <w:t xml:space="preserve"> </w:t>
      </w:r>
      <w:r>
        <w:rPr>
          <w:bCs/>
          <w:b/>
        </w:rPr>
        <w:t xml:space="preserve">Education Administrators</w:t>
      </w:r>
      <w:r>
        <w:t xml:space="preserve"> </w:t>
      </w:r>
      <w:r>
        <w:t xml:space="preserve">are now expected to be change agents who can navigate complex stakeholder relationships, integrate advanced technology into curricula, and foster inclusive learning environments. In</w:t>
      </w:r>
      <w:r>
        <w:t xml:space="preserve"> </w:t>
      </w:r>
      <w:r>
        <w:rPr>
          <w:bCs/>
          <w:b/>
        </w:rPr>
        <w:t xml:space="preserve">Thailand Bangkok</w:t>
      </w:r>
      <w:r>
        <w:t xml:space="preserve">, these expectations are particularly high due to the dense concentration of private institutions, international schools, and public universities competing for a diverse student population.</w:t>
      </w:r>
    </w:p>
    <w:p>
      <w:pPr>
        <w:pStyle w:val="BodyText"/>
      </w:pPr>
      <w:r>
        <w:t xml:space="preserve">This paper aims to outline the specific competencies required by</w:t>
      </w:r>
      <w:r>
        <w:t xml:space="preserve"> </w:t>
      </w:r>
      <w:r>
        <w:rPr>
          <w:bCs/>
          <w:b/>
        </w:rPr>
        <w:t xml:space="preserve">Education Administrators</w:t>
      </w:r>
      <w:r>
        <w:t xml:space="preserve"> </w:t>
      </w:r>
      <w:r>
        <w:t xml:space="preserve">in</w:t>
      </w:r>
      <w:r>
        <w:t xml:space="preserve"> </w:t>
      </w:r>
      <w:r>
        <w:rPr>
          <w:bCs/>
          <w:b/>
        </w:rPr>
        <w:t xml:space="preserve">Thailand Bangkok</w:t>
      </w:r>
      <w:r>
        <w:t xml:space="preserve">. It explores how local cultural nuances intersect with global educational trends, providing a roadmap for administrators who wish to lead effectively in this dynamic environment. By focusing on the specific geographic and administrative realities of Bangkok, we can develop more targeted strategies for professional development and institutional improvement.</w:t>
      </w:r>
    </w:p>
    <w:bookmarkEnd w:id="20"/>
    <w:bookmarkStart w:id="21" w:name="X719d7a1e7aa4a68f768386cffdec98a655e1d10"/>
    <w:p>
      <w:pPr>
        <w:pStyle w:val="Heading2"/>
      </w:pPr>
      <w:r>
        <w:t xml:space="preserve">II. The Changing Landscape of Administration in Thailand</w:t>
      </w:r>
    </w:p>
    <w:p>
      <w:pPr>
        <w:pStyle w:val="FirstParagraph"/>
      </w:pPr>
      <w:r>
        <w:t xml:space="preserve">To understand the contemporary role of an</w:t>
      </w:r>
      <w:r>
        <w:t xml:space="preserve"> </w:t>
      </w:r>
      <w:r>
        <w:rPr>
          <w:bCs/>
          <w:b/>
        </w:rPr>
        <w:t xml:space="preserve">Education Administrator</w:t>
      </w:r>
      <w:r>
        <w:t xml:space="preserve">, one must first appreciate the historical trajectory of Thai education. Historically, the system was highly centralized, with significant decision-making power residing in Bangkok’s Ministry of Education. Consequently, local administrators often functioned primarily as implementers of top-down directives rather than autonomous leaders.</w:t>
      </w:r>
    </w:p>
    <w:p>
      <w:pPr>
        <w:pStyle w:val="BodyText"/>
      </w:pPr>
      <w:r>
        <w:t xml:space="preserve">However, recent legislative reforms have begun to decentralize authority, granting schools and regional offices greater autonomy. This shift places a heavier burden on the individual</w:t>
      </w:r>
      <w:r>
        <w:t xml:space="preserve"> </w:t>
      </w:r>
      <w:r>
        <w:rPr>
          <w:bCs/>
          <w:b/>
        </w:rPr>
        <w:t xml:space="preserve">Education Administrator</w:t>
      </w:r>
      <w:r>
        <w:t xml:space="preserve">. In</w:t>
      </w:r>
      <w:r>
        <w:t xml:space="preserve"> </w:t>
      </w:r>
      <w:r>
        <w:rPr>
          <w:bCs/>
          <w:b/>
        </w:rPr>
        <w:t xml:space="preserve">Thailand Bangkok</w:t>
      </w:r>
      <w:r>
        <w:t xml:space="preserve">, where diversity ranges from affluent expatriate communities in Sukhumvit to underserved populations in outer districts like Phra Pradaeng, administrators must exercise nuanced judgment. They are no longer just managing budgets; they are curating educational experiences that reflect both global standards and local cultural values.</w:t>
      </w:r>
    </w:p>
    <w:bookmarkEnd w:id="21"/>
    <w:bookmarkStart w:id="25" w:name="Xf7f96af50719b9b47c86861c18054c816af67fb"/>
    <w:p>
      <w:pPr>
        <w:pStyle w:val="Heading2"/>
      </w:pPr>
      <w:r>
        <w:t xml:space="preserve">III. Key Challenges for Education Administrators in Bangkok</w:t>
      </w:r>
    </w:p>
    <w:p>
      <w:pPr>
        <w:pStyle w:val="FirstParagraph"/>
      </w:pPr>
      <w:r>
        <w:t xml:space="preserve">The operational environment for an</w:t>
      </w:r>
      <w:r>
        <w:t xml:space="preserve"> </w:t>
      </w:r>
      <w:r>
        <w:rPr>
          <w:bCs/>
          <w:b/>
        </w:rPr>
        <w:t xml:space="preserve">Education Administrator</w:t>
      </w:r>
      <w:r>
        <w:t xml:space="preserve"> </w:t>
      </w:r>
      <w:r>
        <w:t xml:space="preserve">in</w:t>
      </w:r>
      <w:r>
        <w:t xml:space="preserve"> </w:t>
      </w:r>
      <w:r>
        <w:rPr>
          <w:bCs/>
          <w:b/>
        </w:rPr>
        <w:t xml:space="preserve">Thailand Bangkok</w:t>
      </w:r>
      <w:r>
        <w:rPr>
          <w:iCs/>
          <w:i/>
        </w:rPr>
        <w:t xml:space="preserve">,</w:t>
      </w:r>
      <w:r>
        <w:t xml:space="preserve"> </w:t>
      </w:r>
      <w:r>
        <w:t xml:space="preserve">presents several distinct challenges that require immediate attention and strategic planning.</w:t>
      </w:r>
    </w:p>
    <w:bookmarkStart w:id="22" w:name="Xf5a049c52d891910f9665b13e9c2bd5cb95e417"/>
    <w:p>
      <w:pPr>
        <w:pStyle w:val="Heading3"/>
      </w:pPr>
      <w:r>
        <w:t xml:space="preserve">A. Digital Equity and Technological Integration</w:t>
      </w:r>
    </w:p>
    <w:p>
      <w:pPr>
        <w:pStyle w:val="FirstParagraph"/>
      </w:pPr>
      <w:r>
        <w:t xml:space="preserve">Bangkok is often touted as the "Silicon Valley of Southeast Asia," boasting advanced infrastructure. Yet, a digital divide persists within the city itself. An effective</w:t>
      </w:r>
      <w:r>
        <w:t xml:space="preserve"> </w:t>
      </w:r>
      <w:r>
        <w:rPr>
          <w:bCs/>
          <w:b/>
        </w:rPr>
        <w:t xml:space="preserve">Education Administrator</w:t>
      </w:r>
      <w:r>
        <w:t xml:space="preserve"> </w:t>
      </w:r>
      <w:r>
        <w:t xml:space="preserve">must ensure that technology integration does not exacerbate existing inequalities. This involves securing funding for high-speed internet access in under-resourced schools and providing comprehensive training for teachers who may be resistant to new digital pedagogies.</w:t>
      </w:r>
    </w:p>
    <w:bookmarkEnd w:id="22"/>
    <w:bookmarkStart w:id="23" w:name="b.-brain-drain-and-talent-retention"/>
    <w:p>
      <w:pPr>
        <w:pStyle w:val="Heading3"/>
      </w:pPr>
      <w:r>
        <w:t xml:space="preserve">B. Brain Drain and Talent Retention</w:t>
      </w:r>
    </w:p>
    <w:p>
      <w:pPr>
        <w:pStyle w:val="FirstParagraph"/>
      </w:pPr>
      <w:r>
        <w:t xml:space="preserve">Talent acquisition is a critical concern for any</w:t>
      </w:r>
      <w:r>
        <w:t xml:space="preserve"> </w:t>
      </w:r>
      <w:r>
        <w:rPr>
          <w:bCs/>
          <w:b/>
        </w:rPr>
        <w:t xml:space="preserve">Education Administrator</w:t>
      </w:r>
      <w:r>
        <w:t xml:space="preserve">. In</w:t>
      </w:r>
      <w:r>
        <w:t xml:space="preserve"> </w:t>
      </w:r>
      <w:r>
        <w:rPr>
          <w:bCs/>
          <w:b/>
        </w:rPr>
        <w:t xml:space="preserve">Thailand Bangkok</w:t>
      </w:r>
      <w:r>
        <w:t xml:space="preserve">, competition for high-quality teaching staff is fierce, not only among local institutions but also from neighboring countries offering higher salaries. Administrators must develop robust human resource strategies that focus on professional growth, competitive compensation, and a supportive work culture to retain top-tier educational talent.</w:t>
      </w:r>
    </w:p>
    <w:bookmarkEnd w:id="23"/>
    <w:bookmarkStart w:id="24" w:name="Xdbb517790c402388f72ce5d246e2f97e59a658e"/>
    <w:p>
      <w:pPr>
        <w:pStyle w:val="Heading3"/>
      </w:pPr>
      <w:r>
        <w:t xml:space="preserve">C. Cultural Sensitivity in a Globalized Hub</w:t>
      </w:r>
    </w:p>
    <w:p>
      <w:pPr>
        <w:pStyle w:val="FirstParagraph"/>
      </w:pPr>
      <w:r>
        <w:t xml:space="preserve">Bangkok is an international city with a significant foreign resident population.</w:t>
      </w:r>
      <w:r>
        <w:t xml:space="preserve"> </w:t>
      </w:r>
      <w:r>
        <w:rPr>
          <w:bCs/>
          <w:b/>
        </w:rPr>
        <w:t xml:space="preserve">Education Administrators</w:t>
      </w:r>
      <w:r>
        <w:t xml:space="preserve"> </w:t>
      </w:r>
      <w:r>
        <w:t xml:space="preserve">here must manage multicultural classrooms and diverse staff bodies. This requires a high degree of emotional intelligence and cultural competence. Policies must be crafted to respect Thai traditions while accommodating international educational standards, creating a harmonious environment that values both local heritage and global perspectives.</w:t>
      </w:r>
    </w:p>
    <w:bookmarkEnd w:id="24"/>
    <w:bookmarkEnd w:id="25"/>
    <w:bookmarkStart w:id="26" w:name="Xe0ce30a5c92f578f78c1326710b2c40676a737f"/>
    <w:p>
      <w:pPr>
        <w:pStyle w:val="Heading2"/>
      </w:pPr>
      <w:r>
        <w:t xml:space="preserve">IV. A Strategic Framework for Modern Leadership</w:t>
      </w:r>
    </w:p>
    <w:p>
      <w:pPr>
        <w:pStyle w:val="FirstParagraph"/>
      </w:pPr>
      <w:r>
        <w:t xml:space="preserve">To address these challenges, we propose a strategic framework tailored for the</w:t>
      </w:r>
      <w:r>
        <w:t xml:space="preserve"> </w:t>
      </w:r>
      <w:r>
        <w:rPr>
          <w:bCs/>
          <w:b/>
        </w:rPr>
        <w:t xml:space="preserve">Education Administrator</w:t>
      </w:r>
      <w:r>
        <w:t xml:space="preserve"> </w:t>
      </w:r>
      <w:r>
        <w:t xml:space="preserve">,</w:t>
      </w:r>
      <w:r>
        <w:t xml:space="preserve"> </w:t>
      </w:r>
      <w:r>
        <w:t xml:space="preserve">naming it the "B-A-S-I-C" model:</w:t>
      </w:r>
      <w:r>
        <w:t xml:space="preserve"> </w:t>
      </w:r>
      <w:r>
        <w:rPr>
          <w:bCs/>
          <w:b/>
        </w:rPr>
        <w:t xml:space="preserve">B</w:t>
      </w:r>
      <w:r>
        <w:t xml:space="preserve">ureaucratic Agility,</w:t>
      </w:r>
      <w:r>
        <w:t xml:space="preserve"> </w:t>
      </w:r>
      <w:r>
        <w:rPr>
          <w:bCs/>
          <w:b/>
        </w:rPr>
        <w:t xml:space="preserve">A</w:t>
      </w:r>
      <w:r>
        <w:t xml:space="preserve">daptability to Technology,</w:t>
      </w:r>
      <w:r>
        <w:t xml:space="preserve"> </w:t>
      </w:r>
      <w:r>
        <w:rPr>
          <w:bCs/>
          <w:b/>
        </w:rPr>
        <w:t xml:space="preserve">S</w:t>
      </w:r>
      <w:r>
        <w:t xml:space="preserve">takeholder Engagement,</w:t>
      </w:r>
      <w:r>
        <w:t xml:space="preserve"> </w:t>
      </w:r>
      <w:r>
        <w:rPr>
          <w:bCs/>
          <w:b/>
        </w:rPr>
        <w:t xml:space="preserve">I</w:t>
      </w:r>
      <w:r>
        <w:t xml:space="preserve">nclusivity, and &lt; strong&gt;Cultural Competence.</w:t>
      </w:r>
    </w:p>
    <w:p>
      <w:pPr>
        <w:pStyle w:val="BodyText"/>
      </w:pPr>
      <w:r>
        <w:rPr>
          <w:bCs/>
          <w:b/>
        </w:rPr>
        <w:t xml:space="preserve">Bureaucratic Agility:</w:t>
      </w:r>
      <w:r>
        <w:t xml:space="preserve">,</w:t>
      </w:r>
      <w:r>
        <w:t xml:space="preserve"> </w:t>
      </w:r>
      <w:r>
        <w:t xml:space="preserve">The modern administrator in</w:t>
      </w:r>
      <w:r>
        <w:t xml:space="preserve"> </w:t>
      </w:r>
      <w:r>
        <w:rPr>
          <w:bCs/>
          <w:b/>
        </w:rPr>
        <w:t xml:space="preserve">Thailand Bangkok,</w:t>
      </w:r>
      <w:r>
        <w:rPr>
          <w:bCs/>
          <w:b/>
        </w:rPr>
        <w:t xml:space="preserve"> </w:t>
      </w:r>
    </w:p>
    <w:p>
      <w:pPr>
        <w:pStyle w:val="BodyText"/>
      </w:pPr>
      <w:r>
        <w:rPr>
          <w:bCs/>
          <w:b/>
        </w:rPr>
        <w:t xml:space="preserve">Adaptability to Technology:</w:t>
      </w:r>
      <w:r>
        <w:t xml:space="preserve">,</w:t>
      </w:r>
      <w:r>
        <w:t xml:space="preserve"> </w:t>
      </w:r>
      <w:r>
        <w:t xml:space="preserve">An</w:t>
      </w:r>
      <w:r>
        <w:t xml:space="preserve"> </w:t>
      </w:r>
      <w:r>
        <w:rPr>
          <w:bCs/>
          <w:b/>
        </w:rPr>
        <w:t xml:space="preserve">Education Administrator</w:t>
      </w:r>
      <w:r>
        <w:t xml:space="preserve">,</w:t>
      </w:r>
      <w:r>
        <w:t xml:space="preserve"> </w:t>
      </w:r>
    </w:p>
    <w:p>
      <w:pPr>
        <w:pStyle w:val="BodyText"/>
      </w:pPr>
      <w:r>
        <w:rPr>
          <w:bCs/>
          <w:b/>
        </w:rPr>
        <w:t xml:space="preserve">Stakeholder Engagement:</w:t>
      </w:r>
      <w:r>
        <w:t xml:space="preserve">,</w:t>
      </w:r>
    </w:p>
    <w:p>
      <w:pPr>
        <w:pStyle w:val="BodyText"/>
      </w:pPr>
      <w:r>
        <w:t xml:space="preserve">In the dense urban fabric of</w:t>
      </w:r>
      <w:r>
        <w:t xml:space="preserve"> </w:t>
      </w:r>
      <w:r>
        <w:rPr>
          <w:bCs/>
          <w:b/>
        </w:rPr>
        <w:t xml:space="preserve">Bangkok</w:t>
      </w:r>
      <w:r>
        <w:t xml:space="preserve">, administrators must engage deeply with parents, local community leaders, and government officials. Transparent communication channels are essential to build trust and ensure that school policies align with community expectations.</w:t>
      </w:r>
    </w:p>
    <w:p>
      <w:pPr>
        <w:pStyle w:val="BodyText"/>
      </w:pPr>
      <w:r>
        <w:rPr>
          <w:bCs/>
          <w:b/>
        </w:rPr>
        <w:t xml:space="preserve">Inclusivity:</w:t>
      </w:r>
      <w:r>
        <w:t xml:space="preserve">,</w:t>
      </w:r>
      <w:r>
        <w:t xml:space="preserve"> </w:t>
      </w:r>
      <w:r>
        <w:t xml:space="preserve">Leadership in</w:t>
      </w:r>
      <w:r>
        <w:t xml:space="preserve"> </w:t>
      </w:r>
      <w:r>
        <w:rPr>
          <w:bCs/>
          <w:b/>
        </w:rPr>
        <w:t xml:space="preserve">Thailand</w:t>
      </w:r>
      <w:r>
        <w:t xml:space="preserve">,</w:t>
      </w:r>
      <w:r>
        <w:t xml:space="preserve"> </w:t>
      </w:r>
      <w:r>
        <w:t xml:space="preserve">must prioritize equity. This means creating safe spaces for students of all backgrounds, abilities, and economic statuses. For the</w:t>
      </w:r>
      <w:r>
        <w:t xml:space="preserve"> </w:t>
      </w:r>
      <w:r>
        <w:rPr>
          <w:bCs/>
          <w:b/>
        </w:rPr>
        <w:t xml:space="preserve">Education Administrator,</w:t>
      </w:r>
      <w:r>
        <w:rPr>
          <w:bCs/>
          <w:b/>
        </w:rPr>
        <w:t xml:space="preserve"> </w:t>
      </w:r>
    </w:p>
    <w:p>
      <w:pPr>
        <w:pStyle w:val="BodyText"/>
      </w:pPr>
      <w:r>
        <w:rPr>
          <w:bCs/>
          <w:b/>
        </w:rPr>
        <w:t xml:space="preserve">Cultural Competence:</w:t>
      </w:r>
      <w:r>
        <w:t xml:space="preserve">,</w:t>
      </w:r>
      <w:r>
        <w:t xml:space="preserve"> </w:t>
      </w:r>
      <w:r>
        <w:t xml:space="preserve">Finally, leaders must embody Thai values such as 'sanuk' (fun/enjoyment) in learning and 'kreng jai' (consideration) in interpersonal interactions. By blending these local values with international best practices,</w:t>
      </w:r>
      <w:r>
        <w:t xml:space="preserve"> </w:t>
      </w:r>
      <w:r>
        <w:rPr>
          <w:bCs/>
          <w:b/>
        </w:rPr>
        <w:t xml:space="preserve">Education Administrators</w:t>
      </w:r>
      <w:r>
        <w:t xml:space="preserve">,</w:t>
      </w:r>
      <w:r>
        <w:t xml:space="preserve"> </w:t>
      </w:r>
    </w:p>
    <w:bookmarkEnd w:id="26"/>
    <w:bookmarkStart w:id="27" w:name="v.-conclusion"/>
    <w:p>
      <w:pPr>
        <w:pStyle w:val="Heading2"/>
      </w:pPr>
      <w:r>
        <w:t xml:space="preserve">V. Conclusion</w:t>
      </w:r>
    </w:p>
    <w:p>
      <w:pPr>
        <w:pStyle w:val="FirstParagraph"/>
      </w:pPr>
      <w:r>
        <w:t xml:space="preserve">The role of the</w:t>
      </w:r>
      <w:r>
        <w:t xml:space="preserve"> </w:t>
      </w:r>
      <w:r>
        <w:rPr>
          <w:bCs/>
          <w:b/>
        </w:rPr>
        <w:t xml:space="preserve">Education Administrator</w:t>
      </w:r>
      <w:r>
        <w:t xml:space="preserve">,</w:t>
      </w:r>
      <w:r>
        <w:t xml:space="preserve"> </w:t>
      </w:r>
      <w:r>
        <w:t xml:space="preserve">in</w:t>
      </w:r>
      <w:r>
        <w:t xml:space="preserve"> </w:t>
      </w:r>
      <w:r>
        <w:rPr>
          <w:bCs/>
          <w:b/>
        </w:rPr>
        <w:t xml:space="preserve">Thailand Bangkok,</w:t>
      </w:r>
      <w:r>
        <w:rPr>
          <w:bCs/>
          <w:b/>
        </w:rPr>
        <w:t xml:space="preserve"> </w:t>
      </w:r>
    </w:p>
    <w:p>
      <w:pPr>
        <w:pStyle w:val="BodyText"/>
      </w:pPr>
      <w:r>
        <w:t xml:space="preserve">For stakeholders invested in the future of education in Southeast Asia, it is imperative to support these administrators through professional development programs that focus on digital literacy and strategic planning. By empowering</w:t>
      </w:r>
      <w:r>
        <w:t xml:space="preserve"> </w:t>
      </w:r>
      <w:r>
        <w:rPr>
          <w:bCs/>
          <w:b/>
        </w:rPr>
        <w:t xml:space="preserve">Education Administrators</w:t>
      </w:r>
      <w:r>
        <w:t xml:space="preserve">,</w:t>
      </w:r>
      <w:r>
        <w:t xml:space="preserve"> </w:t>
      </w:r>
      <w:r>
        <w:t xml:space="preserve">in</w:t>
      </w:r>
      <w:r>
        <w:t xml:space="preserve"> </w:t>
      </w:r>
      <w:r>
        <w:rPr>
          <w:bCs/>
          <w:b/>
        </w:rPr>
        <w:t xml:space="preserve">Bangkok,</w:t>
      </w:r>
      <w:r>
        <w:rPr>
          <w:bCs/>
          <w:b/>
        </w:rPr>
        <w:t xml:space="preserve"> </w:t>
      </w:r>
    </w:p>
    <w:p>
      <w:pPr>
        <w:pStyle w:val="BodyText"/>
      </w:pPr>
      <w:r>
        <w:t xml:space="preserve">Ultimately, the success of education in</w:t>
      </w:r>
      <w:r>
        <w:t xml:space="preserve"> </w:t>
      </w:r>
      <w:r>
        <w:rPr>
          <w:bCs/>
          <w:b/>
        </w:rPr>
        <w:t xml:space="preserve">Thailand Bangkok</w:t>
      </w:r>
      <w:r>
        <w:t xml:space="preserve">,</w:t>
      </w:r>
      <w:r>
        <w:t xml:space="preserve"> </w:t>
      </w:r>
    </w:p>
    <w:bookmarkEnd w:id="27"/>
    <w:bookmarkStart w:id="28" w:name="vi.-references-simulated"/>
    <w:p>
      <w:pPr>
        <w:pStyle w:val="Heading2"/>
      </w:pPr>
      <w:r>
        <w:t xml:space="preserve">VI. References (Simulated)</w:t>
      </w:r>
    </w:p>
    <w:p>
      <w:pPr>
        <w:pStyle w:val="FirstParagraph"/>
      </w:pPr>
      <w:r>
        <w:rPr>
          <w:bCs/>
          <w:b/>
        </w:rPr>
        <w:t xml:space="preserve">[1]</w:t>
      </w:r>
      <w:r>
        <w:t xml:space="preserve">,</w:t>
      </w:r>
    </w:p>
    <w:p>
      <w:pPr>
        <w:pStyle w:val="BodyText"/>
      </w:pPr>
      <w:r>
        <w:t xml:space="preserve">Krishnaswamy, S., &amp; Singh, P. (2023). Digital Transformation in Southeast Asian Education Systems.</w:t>
      </w:r>
      <w:r>
        <w:t xml:space="preserve"> </w:t>
      </w:r>
      <w:r>
        <w:rPr>
          <w:iCs/>
          <w:i/>
        </w:rPr>
        <w:t xml:space="preserve">Journal of Asian Educational Policy,</w:t>
      </w:r>
      <w:r>
        <w:t xml:space="preserve">,</w:t>
      </w:r>
    </w:p>
    <w:p>
      <w:pPr>
        <w:pStyle w:val="BodyText"/>
      </w:pPr>
      <w:r>
        <w:t xml:space="preserve">12(4), 45-67.</w:t>
      </w:r>
    </w:p>
    <w:p>
      <w:pPr>
        <w:pStyle w:val="BodyText"/>
      </w:pPr>
      <w:r>
        <w:rPr>
          <w:bCs/>
          <w:b/>
        </w:rPr>
        <w:t xml:space="preserve">[2]</w:t>
      </w:r>
      <w:r>
        <w:t xml:space="preserve">,</w:t>
      </w:r>
    </w:p>
    <w:p>
      <w:pPr>
        <w:pStyle w:val="BodyText"/>
      </w:pPr>
      <w:r>
        <w:t xml:space="preserve">Bangkok Metropolitan Administration. (2024).</w:t>
      </w:r>
      <w:r>
        <w:t xml:space="preserve"> </w:t>
      </w:r>
      <w:r>
        <w:rPr>
          <w:iCs/>
          <w:i/>
        </w:rPr>
        <w:t xml:space="preserve">Annual Report on Urban Education Statistics.</w:t>
      </w:r>
      <w:r>
        <w:t xml:space="preserve">,</w:t>
      </w:r>
    </w:p>
    <w:p>
      <w:pPr>
        <w:pStyle w:val="BodyText"/>
      </w:pPr>
      <w:r>
        <w:t xml:space="preserve">BMA Press.</w:t>
      </w:r>
    </w:p>
    <w:p>
      <w:pPr>
        <w:pStyle w:val="BodyText"/>
      </w:pPr>
      <w:r>
        <w:rPr>
          <w:bCs/>
          <w:b/>
        </w:rPr>
        <w:t xml:space="preserve">[3]</w:t>
      </w:r>
      <w:r>
        <w:t xml:space="preserve">,</w:t>
      </w:r>
    </w:p>
    <w:p>
      <w:pPr>
        <w:pStyle w:val="BodyText"/>
      </w:pPr>
      <w:r>
        <w:t xml:space="preserve">Srisawasdi, E. (2022). Leadership Challenges in Thai Higher Education: A Case Study of Bangkok Universities.</w:t>
      </w:r>
      <w:r>
        <w:t xml:space="preserve"> </w:t>
      </w:r>
      <w:r>
        <w:rPr>
          <w:iCs/>
          <w:i/>
        </w:rPr>
        <w:t xml:space="preserve">International Journal of Educational Administration,</w:t>
      </w:r>
      <w:r>
        <w:t xml:space="preserve">,</w:t>
      </w:r>
    </w:p>
    <w:p>
      <w:pPr>
        <w:pStyle w:val="BodyText"/>
      </w:pPr>
      <w:r>
        <w:t xml:space="preserve">8(2), 112-130.</w:t>
      </w:r>
    </w:p>
    <w:p>
      <w:pPr>
        <w:pStyle w:val="BodyText"/>
      </w:pPr>
      <w:r>
        <w:rPr>
          <w:bCs/>
          <w:b/>
        </w:rPr>
        <w:t xml:space="preserve">[4]</w:t>
      </w:r>
      <w:r>
        <w:t xml:space="preserve">,</w:t>
      </w:r>
    </w:p>
    <w:p>
      <w:pPr>
        <w:pStyle w:val="BodyText"/>
      </w:pPr>
      <w:r>
        <w:t xml:space="preserve">Mining, J. (2023). The Role of AI in Personalized Learning: Implications for Administrators in Thailand.</w:t>
      </w:r>
      <w:r>
        <w:t xml:space="preserve"> </w:t>
      </w:r>
      <w:r>
        <w:rPr>
          <w:iCs/>
          <w:i/>
        </w:rPr>
        <w:t xml:space="preserve">EdTech Review Asia,</w:t>
      </w:r>
      <w:r>
        <w:t xml:space="preserve">,</w:t>
      </w:r>
    </w:p>
    <w:p>
      <w:pPr>
        <w:pStyle w:val="BodyText"/>
      </w:pPr>
      <w:r>
        <w:t xml:space="preserve">5(1), 22-39.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A Strategic Framework for Education Administrators in Thailand, Bangkok</dc:title>
  <dc:creator/>
  <cp:keywords/>
  <dcterms:created xsi:type="dcterms:W3CDTF">2026-07-29T03:09:03Z</dcterms:created>
  <dcterms:modified xsi:type="dcterms:W3CDTF">2026-07-29T03:09:03Z</dcterms:modified>
</cp:coreProperties>
</file>

<file path=docProps/custom.xml><?xml version="1.0" encoding="utf-8"?>
<Properties xmlns="http://schemas.openxmlformats.org/officeDocument/2006/custom-properties" xmlns:vt="http://schemas.openxmlformats.org/officeDocument/2006/docPropsVTypes"/>
</file>