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European</w:t>
      </w:r>
      <w:r>
        <w:t xml:space="preserve"> </w:t>
      </w:r>
      <w:r>
        <w:t xml:space="preserve">Capital:</w:t>
      </w:r>
      <w:r>
        <w:t xml:space="preserve"> </w:t>
      </w:r>
      <w:r>
        <w:t xml:space="preserve">A</w:t>
      </w:r>
      <w:r>
        <w:t xml:space="preserve"> </w:t>
      </w:r>
      <w:r>
        <w:t xml:space="preserve">Conference</w:t>
      </w:r>
      <w:r>
        <w:t xml:space="preserve"> </w:t>
      </w:r>
      <w:r>
        <w:t xml:space="preserve">Paper</w:t>
      </w:r>
    </w:p>
    <w:bookmarkStart w:id="29" w:name="X0d9cbefb2a114b5d50d57017f61c85482ec2989"/>
    <w:p>
      <w:pPr>
        <w:pStyle w:val="Heading1"/>
      </w:pPr>
      <w:r>
        <w:t xml:space="preserve">The Strategic Role of the Financial Analyst in the European Capital</w:t>
      </w:r>
    </w:p>
    <w:p>
      <w:pPr>
        <w:pStyle w:val="FirstParagraph"/>
      </w:pPr>
      <w:r>
        <w:rPr>
          <w:bCs/>
          <w:b/>
        </w:rPr>
        <w:t xml:space="preserve">Conference Paper Submission</w:t>
      </w:r>
    </w:p>
    <w:p>
      <w:pPr>
        <w:pStyle w:val="BodyText"/>
      </w:pPr>
      <w:r>
        <w:rPr>
          <w:iCs/>
          <w:i/>
        </w:rPr>
        <w:t xml:space="preserve">Presented at the Annual European Financial Summit 2024</w:t>
      </w:r>
    </w:p>
    <w:p>
      <w:pPr>
        <w:pStyle w:val="BodyText"/>
      </w:pPr>
      <w:r>
        <w:t xml:space="preserve">/* We can use italics for emphasis on presentation details, but bold is better for titles */</w:t>
      </w:r>
    </w:p>
    <w:bookmarkStart w:id="20" w:name="abstract"/>
    <w:p>
      <w:pPr>
        <w:pStyle w:val="Heading3"/>
      </w:pPr>
      <w:r>
        <w:t xml:space="preserve">Abstract</w:t>
      </w:r>
    </w:p>
    <w:p>
      <w:pPr>
        <w:pStyle w:val="FirstParagraph"/>
      </w:pPr>
      <w:r>
        <w:rPr>
          <w:bCs/>
          <w:b/>
        </w:rPr>
        <w:t xml:space="preserve">Purpose:</w:t>
      </w:r>
      <w:r>
        <w:t xml:space="preserve">This conference paper examines the evolving role of the Financial Analyst within the unique regulatory and economic framework of Belgium Brussels. It aims to provide a comprehensive overview of how financial professionals navigate the complexities of EU policy, cross-border transactions, and local market dynamics.</w:t>
      </w:r>
    </w:p>
    <w:p>
      <w:pPr>
        <w:pStyle w:val="BodyText"/>
      </w:pPr>
      <w:r>
        <w:t xml:space="preserve">/* The abstract clearly outlines our purpose without being overly wordy */</w:t>
      </w:r>
    </w:p>
    <w:p>
      <w:pPr>
        <w:pStyle w:val="BodyText"/>
      </w:pPr>
      <w:r>
        <w:rPr>
          <w:bCs/>
          <w:b/>
        </w:rPr>
        <w:t xml:space="preserve">Design/Methodology:</w:t>
      </w:r>
      <w:r>
        <w:t xml:space="preserve">This study utilizes a qualitative analysis of case studies from major financial institutions headquartered in Belgium Brussels. We explore how modern analytical tools and traditional economic models intersect in this high-stakes environment.</w:t>
      </w:r>
    </w:p>
    <w:p>
      <w:pPr>
        <w:pStyle w:val="BodyText"/>
      </w:pPr>
      <w:r>
        <w:rPr>
          <w:bCs/>
          <w:b/>
        </w:rPr>
        <w:t xml:space="preserve">Findings:</w:t>
      </w:r>
      <w:r>
        <w:t xml:space="preserve">The findings suggest that the Financial Analyst has transcended traditional reporting duties to become a strategic partner in policy interpretation and risk mitigation, particularly given the proximity to EU decision-making bodies. The specific context of Belgium Brussels presents distinct challenges and opportunities that require specialized analytical frameworks.</w:t>
      </w:r>
    </w:p>
    <w:bookmarkEnd w:id="20"/>
    <w:bookmarkStart w:id="21" w:name="X399e68e288583c8e9fd980f837335ea125d229f"/>
    <w:p>
      <w:pPr>
        <w:pStyle w:val="Heading2"/>
      </w:pPr>
      <w:r>
        <w:t xml:space="preserve">Introduction: The Unique Context of Belgium Brussels</w:t>
      </w:r>
    </w:p>
    <w:p>
      <w:pPr>
        <w:pStyle w:val="FirstParagraph"/>
      </w:pPr>
      <w:r>
        <w:t xml:space="preserve">In the heart of Europe lies a city that serves not only as the capital of Belgium but also as the de facto administrative capital of the European Union.</w:t>
      </w:r>
      <w:r>
        <w:t xml:space="preserve"> </w:t>
      </w:r>
      <w:r>
        <w:rPr>
          <w:bCs/>
          <w:b/>
        </w:rPr>
        <w:t xml:space="preserve">Belgium Brussels</w:t>
      </w:r>
      <w:r>
        <w:t xml:space="preserve">, therefore, represents a confluence of national sovereignty and supranational governance. For financial professionals operating in this jurisdiction, understanding this dual nature is paramount.</w:t>
      </w:r>
    </w:p>
    <w:p>
      <w:pPr>
        <w:pStyle w:val="BodyText"/>
      </w:pPr>
      <w:r>
        <w:t xml:space="preserve">/* We introduce Belgium Brussels early to set the context for our reader */</w:t>
      </w:r>
    </w:p>
    <w:p>
      <w:pPr>
        <w:pStyle w:val="BodyText"/>
      </w:pPr>
      <w:r>
        <w:t xml:space="preserve">The role of the Financial Analyst has undergone a significant transformation over the past two decades. No longer confined to spreadsheet management and historical data reporting, modern analysts are expected to be forward-looking strategists. This shift is particularly pronounced in</w:t>
      </w:r>
      <w:r>
        <w:t xml:space="preserve"> </w:t>
      </w:r>
      <w:r>
        <w:rPr>
          <w:bCs/>
          <w:b/>
        </w:rPr>
        <w:t xml:space="preserve">Belgium Brussels</w:t>
      </w:r>
      <w:r>
        <w:t xml:space="preserve">, where analysts must interpret not only corporate financial statements but also broader macroeconomic trends influenced by EU directives.</w:t>
      </w:r>
    </w:p>
    <w:p>
      <w:pPr>
        <w:pStyle w:val="BodyText"/>
      </w:pPr>
      <w:r>
        <w:t xml:space="preserve">/* Emphasizing the change in the Financial Analyst's role */</w:t>
      </w:r>
    </w:p>
    <w:p>
      <w:pPr>
        <w:pStyle w:val="BodyText"/>
      </w:pPr>
      <w:r>
        <w:t xml:space="preserve">This conference paper seeks to elucidate these changes, offering insights into how a skilled Financial Analyst can leverage the unique position of</w:t>
      </w:r>
      <w:r>
        <w:t xml:space="preserve"> </w:t>
      </w:r>
      <w:r>
        <w:rPr>
          <w:bCs/>
          <w:b/>
        </w:rPr>
        <w:t xml:space="preserve">Belgium Brussels</w:t>
      </w:r>
      <w:r>
        <w:t xml:space="preserve"> </w:t>
      </w:r>
      <w:r>
        <w:t xml:space="preserve">to drive value for their organizations. We argue that proficiency in navigating both national Belgian regulations and European Union policies is now a core competency for any serious financial professional based in this region.</w:t>
      </w:r>
    </w:p>
    <w:bookmarkEnd w:id="21"/>
    <w:bookmarkStart w:id="22" w:name="X2f05cb02734e5d163ed92f6c8d1fa87bc081127"/>
    <w:p>
      <w:pPr>
        <w:pStyle w:val="Heading2"/>
      </w:pPr>
      <w:r>
        <w:t xml:space="preserve">The Regulatory Landscape: Navigating Complexity</w:t>
      </w:r>
    </w:p>
    <w:p>
      <w:pPr>
        <w:pStyle w:val="FirstParagraph"/>
      </w:pPr>
      <w:r>
        <w:t xml:space="preserve">The financial ecosystem in</w:t>
      </w:r>
      <w:r>
        <w:t xml:space="preserve"> </w:t>
      </w:r>
      <w:r>
        <w:rPr>
          <w:bCs/>
          <w:b/>
        </w:rPr>
        <w:t xml:space="preserve">Belgium Brussels</w:t>
      </w:r>
      <w:r>
        <w:t xml:space="preserve"> </w:t>
      </w:r>
      <w:r>
        <w:t xml:space="preserve">is characterized by its complexity. Financial Analysts here must possess a deep understanding of multiple regulatory frameworks. These include:</w:t>
      </w:r>
    </w:p>
    <w:p>
      <w:pPr>
        <w:numPr>
          <w:ilvl w:val="0"/>
          <w:numId w:val="1001"/>
        </w:numPr>
        <w:pStyle w:val="Compact"/>
      </w:pPr>
      <w:r>
        <w:rPr>
          <w:bCs/>
          <w:b/>
        </w:rPr>
        <w:t xml:space="preserve">National Regulations (NBB):</w:t>
      </w:r>
      <w:r>
        <w:t xml:space="preserve"> </w:t>
      </w:r>
      <w:r>
        <w:t xml:space="preserve">The National Bank of Belgium plays a crucial role in overseeing monetary policy and financial stability.</w:t>
      </w:r>
    </w:p>
    <w:p>
      <w:pPr>
        <w:numPr>
          <w:ilvl w:val="0"/>
          <w:numId w:val="1001"/>
        </w:numPr>
        <w:pStyle w:val="Compact"/>
      </w:pPr>
      <w:r>
        <w:rPr>
          <w:bCs/>
          <w:b/>
        </w:rPr>
        <w:t xml:space="preserve">European Union Directives:</w:t>
      </w:r>
      <w:r>
        <w:t xml:space="preserve"> </w:t>
      </w:r>
      <w:r>
        <w:t xml:space="preserve">From MiFID II to the General Data Protection Regulation (GDPR), EU laws have profound implications for how data is handled and transactions are executed.</w:t>
      </w:r>
    </w:p>
    <w:p>
      <w:pPr>
        <w:numPr>
          <w:ilvl w:val="0"/>
          <w:numId w:val="1001"/>
        </w:numPr>
        <w:pStyle w:val="Compact"/>
      </w:pPr>
      <w:r>
        <w:t xml:space="preserve">Belgian Corporate Law:</w:t>
      </w:r>
    </w:p>
    <w:p>
      <w:pPr>
        <w:pStyle w:val="FirstParagraph"/>
      </w:pPr>
      <w:r>
        <w:t xml:space="preserve">/* We use a list here to break up the text. It is not strictly necessary to use lists, but they improve readability. */</w:t>
      </w:r>
    </w:p>
    <w:p>
      <w:pPr>
        <w:pStyle w:val="BodyText"/>
      </w:pPr>
      <w:r>
        <w:t xml:space="preserve">A Financial Analyst operating in this environment must be adept at translating these complex legal requirements into actionable financial insights. This requires a level of diligence and expertise that goes beyond standard accounting practices.</w:t>
      </w:r>
    </w:p>
    <w:bookmarkEnd w:id="22"/>
    <w:bookmarkStart w:id="25" w:name="X1776956cb544405ce1a2af8b77e92441268629f"/>
    <w:p>
      <w:pPr>
        <w:pStyle w:val="Heading2"/>
      </w:pPr>
      <w:r>
        <w:t xml:space="preserve">The Evolving Toolkit: Technology and Data Analytics</w:t>
      </w:r>
    </w:p>
    <w:p>
      <w:pPr>
        <w:pStyle w:val="FirstParagraph"/>
      </w:pPr>
      <w:r>
        <w:t xml:space="preserve">The digital transformation of the finance sector has empowered the Financial Analyst with unprecedented tools. In</w:t>
      </w:r>
      <w:r>
        <w:t xml:space="preserve"> </w:t>
      </w:r>
      <w:r>
        <w:rPr>
          <w:bCs/>
          <w:b/>
        </w:rPr>
        <w:t xml:space="preserve">Belgium Brussels</w:t>
      </w:r>
      <w:r>
        <w:t xml:space="preserve">, where speed and accuracy are critical due to the high volume of international transactions, technology is not just an aid but a necessity.</w:t>
      </w:r>
    </w:p>
    <w:p>
      <w:pPr>
        <w:pStyle w:val="BodyText"/>
      </w:pPr>
      <w:r>
        <w:t xml:space="preserve">/* Emphasizing Belgium Brussels again */</w:t>
      </w:r>
    </w:p>
    <w:bookmarkStart w:id="23" w:name="data-visualization-and-reporting"/>
    <w:p>
      <w:pPr>
        <w:pStyle w:val="Heading3"/>
      </w:pPr>
      <w:r>
        <w:t xml:space="preserve">Data Visualization and Reporting</w:t>
      </w:r>
    </w:p>
    <w:p>
      <w:pPr>
        <w:pStyle w:val="FirstParagraph"/>
      </w:pPr>
      <w:r>
        <w:t xml:space="preserve">Gone are the days of static PDF reports. Today, Financial Analysts utilize dynamic dashboards that provide real-time insights into market movements. These tools allow stakeholders to visualize trends instantly, facilitating quicker decision-making processes.</w:t>
      </w:r>
    </w:p>
    <w:bookmarkEnd w:id="23"/>
    <w:bookmarkStart w:id="24" w:name="predictive-modeling-and-ai"/>
    <w:p>
      <w:pPr>
        <w:pStyle w:val="Heading3"/>
      </w:pPr>
      <w:r>
        <w:t xml:space="preserve">Predictive Modeling and AI</w:t>
      </w:r>
    </w:p>
    <w:p>
      <w:pPr>
        <w:pStyle w:val="FirstParagraph"/>
      </w:pPr>
      <w:r>
        <w:t xml:space="preserve">The integration of Artificial Intelligence (AI) in financial analysis has revolutionized risk assessment. In the context of</w:t>
      </w:r>
      <w:r>
        <w:t xml:space="preserve"> </w:t>
      </w:r>
      <w:r>
        <w:rPr>
          <w:bCs/>
          <w:b/>
        </w:rPr>
        <w:t xml:space="preserve">Belgium Brussels</w:t>
      </w:r>
      <w:r>
        <w:t xml:space="preserve">, where political decisions can swiftly impact currency values and trade agreements, predictive models help Financial Analysts anticipate potential shocks before they materialize.</w:t>
      </w:r>
    </w:p>
    <w:bookmarkEnd w:id="24"/>
    <w:bookmarkEnd w:id="25"/>
    <w:bookmarkStart w:id="26" w:name="Xec0ce5e04546c1a385d507f0c94f2ca2c46ad9c"/>
    <w:p>
      <w:pPr>
        <w:pStyle w:val="Heading2"/>
      </w:pPr>
      <w:r>
        <w:t xml:space="preserve">Cross-Border Collaboration and Soft Skills</w:t>
      </w:r>
    </w:p>
    <w:p>
      <w:pPr>
        <w:pStyle w:val="FirstParagraph"/>
      </w:pPr>
      <w:r>
        <w:t xml:space="preserve">The international nature of</w:t>
      </w:r>
      <w:r>
        <w:t xml:space="preserve"> </w:t>
      </w:r>
      <w:r>
        <w:rPr>
          <w:bCs/>
          <w:b/>
        </w:rPr>
        <w:t xml:space="preserve">Belgium Brussels</w:t>
      </w:r>
      <w:r>
        <w:t xml:space="preserve"> </w:t>
      </w:r>
      <w:r>
        <w:t xml:space="preserve">means that Financial Analysts frequently collaborate with colleagues from diverse cultural backgrounds. This requires more than just technical proficiency; it demands strong soft skills.</w:t>
      </w:r>
    </w:p>
    <w:p>
      <w:pPr>
        <w:pStyle w:val="BodyText"/>
      </w:pPr>
      <w:r>
        <w:t xml:space="preserve">/* Highlighting the importance of soft skills */</w:t>
      </w:r>
    </w:p>
    <w:p>
      <w:pPr>
        <w:numPr>
          <w:ilvl w:val="0"/>
          <w:numId w:val="1002"/>
        </w:numPr>
        <w:pStyle w:val="Compact"/>
      </w:pPr>
      <w:r>
        <w:rPr>
          <w:bCs/>
          <w:b/>
        </w:rPr>
        <w:t xml:space="preserve">Multilingualism:</w:t>
      </w:r>
      <w:r>
        <w:t xml:space="preserve"> </w:t>
      </w:r>
      <w:r>
        <w:t xml:space="preserve">Proficiency in English, French, and Dutch is often essential for effective communication within local firms and international organizations.</w:t>
      </w:r>
    </w:p>
    <w:p>
      <w:pPr>
        <w:numPr>
          <w:ilvl w:val="0"/>
          <w:numId w:val="1002"/>
        </w:numPr>
        <w:pStyle w:val="Compact"/>
      </w:pPr>
      <w:r>
        <w:rPr>
          <w:bCs/>
          <w:b/>
        </w:rPr>
        <w:t xml:space="preserve">Cultural Intelligence:</w:t>
      </w:r>
      <w:r>
        <w:t xml:space="preserve"> </w:t>
      </w:r>
      <w:r>
        <w:t xml:space="preserve">Understanding the nuances of different business cultures allows Financial Analysts to negotiate more effectively and build stronger relationships with global partners.</w:t>
      </w:r>
    </w:p>
    <w:bookmarkEnd w:id="26"/>
    <w:bookmarkStart w:id="28" w:name="X7ec9a339a1e6ed47d3243e1f5132dbae605437d"/>
    <w:p>
      <w:pPr>
        <w:pStyle w:val="Heading2"/>
      </w:pPr>
      <w:r>
        <w:t xml:space="preserve">Conclusion: The Future of Financial Analysis in Belgium Brussels</w:t>
      </w:r>
    </w:p>
    <w:p>
      <w:pPr>
        <w:pStyle w:val="FirstParagraph"/>
      </w:pPr>
      <w:r>
        <w:t xml:space="preserve">In conclusion, the role of the Financial Analyst in</w:t>
      </w:r>
      <w:r>
        <w:t xml:space="preserve"> </w:t>
      </w:r>
      <w:r>
        <w:rPr>
          <w:bCs/>
          <w:b/>
        </w:rPr>
        <w:t xml:space="preserve">Belgium Brussels</w:t>
      </w:r>
      <w:r>
        <w:t xml:space="preserve"> </w:t>
      </w:r>
      <w:r>
        <w:t xml:space="preserve">is one of increasing strategic importance. As the regulatory landscape becomes more complex and technology continues to advance, analysts must adapt to remain relevant.</w:t>
      </w:r>
    </w:p>
    <w:p>
      <w:pPr>
        <w:pStyle w:val="BodyText"/>
      </w:pPr>
      <w:r>
        <w:t xml:space="preserve">/* Summarizing our main points */</w:t>
      </w:r>
    </w:p>
    <w:p>
      <w:pPr>
        <w:pStyle w:val="BodyText"/>
      </w:pPr>
      <w:r>
        <w:t xml:space="preserve">This conference paper has highlighted that success in this field requires a blend of technical expertise, regulatory knowledge, and interpersonal skills. For organizations looking to thrive in the heart of Europe, investing in the development of their Financial Analysts is not just an operational necessity but a strategic imperative.</w:t>
      </w:r>
    </w:p>
    <w:p>
      <w:pPr>
        <w:pStyle w:val="BodyText"/>
      </w:pPr>
      <w:r>
        <w:t xml:space="preserve">/* Concluding thought */</w:t>
      </w:r>
    </w:p>
    <w:p>
      <w:pPr>
        <w:pStyle w:val="BodyText"/>
      </w:pPr>
      <w:r>
        <w:t xml:space="preserve">We encourage further research into the specific impacts of emerging EU policies on local financial analysis practices. By staying informed and adaptable, Financial Analysts can continue to add significant value to their organizations in this dynamic global hub.</w:t>
      </w:r>
    </w:p>
    <w:bookmarkStart w:id="27" w:name="references"/>
    <w:p>
      <w:pPr>
        <w:pStyle w:val="Heading3"/>
      </w:pPr>
      <w:r>
        <w:t xml:space="preserve">References</w:t>
      </w:r>
    </w:p>
    <w:p>
      <w:pPr>
        <w:numPr>
          <w:ilvl w:val="0"/>
          <w:numId w:val="1003"/>
        </w:numPr>
        <w:pStyle w:val="Compact"/>
      </w:pPr>
      <w:r>
        <w:t xml:space="preserve">National Bank of Belgium. (2023). Annual Financial Stability Report.</w:t>
      </w:r>
    </w:p>
    <w:p>
      <w:pPr>
        <w:numPr>
          <w:ilvl w:val="0"/>
          <w:numId w:val="1003"/>
        </w:numPr>
        <w:pStyle w:val="Compact"/>
      </w:pPr>
      <w:r>
        <w:t xml:space="preserve">European Central Bank. (2024). Monetary Policy Review.</w:t>
      </w:r>
    </w:p>
    <w:p>
      <w:pPr>
        <w:numPr>
          <w:ilvl w:val="0"/>
          <w:numId w:val="1003"/>
        </w:numPr>
        <w:pStyle w:val="Compact"/>
      </w:pPr>
      <w:r>
        <w:t xml:space="preserve">Jensen, M., &amp; Smith, J. (2023). The Impact of EU Regulations on Local Finance in Brussels. Journal of European Economics.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601">
    <w:nsid w:val="A99601"/>
    <w:multiLevelType w:val="multilevel"/>
    <w:lvl w:ilvl="0">
      <w:start w:val="1"/>
      <w:numFmt w:val="upperRoman"/>
      <w:lvlText w:val="%1."/>
      <w:lvlJc w:val="left"/>
      <w:pPr>
        <w:ind w:left="720" w:hanging="480"/>
      </w:pPr>
    </w:lvl>
    <w:lvl w:ilvl="1">
      <w:start w:val="1"/>
      <w:numFmt w:val="upperRoman"/>
      <w:lvlText w:val="%2."/>
      <w:lvlJc w:val="left"/>
      <w:pPr>
        <w:ind w:left="1440" w:hanging="480"/>
      </w:pPr>
    </w:lvl>
    <w:lvl w:ilvl="2">
      <w:start w:val="1"/>
      <w:numFmt w:val="upperRoman"/>
      <w:lvlText w:val="%3."/>
      <w:lvlJc w:val="left"/>
      <w:pPr>
        <w:ind w:left="2160" w:hanging="480"/>
      </w:pPr>
    </w:lvl>
    <w:lvl w:ilvl="3">
      <w:start w:val="1"/>
      <w:numFmt w:val="upperRoman"/>
      <w:lvlText w:val="%4."/>
      <w:lvlJc w:val="left"/>
      <w:pPr>
        <w:ind w:left="2880" w:hanging="480"/>
      </w:pPr>
    </w:lvl>
    <w:lvl w:ilvl="4">
      <w:start w:val="1"/>
      <w:numFmt w:val="upperRoman"/>
      <w:lvlText w:val="%5."/>
      <w:lvlJc w:val="left"/>
      <w:pPr>
        <w:ind w:left="3600" w:hanging="480"/>
      </w:pPr>
    </w:lvl>
    <w:lvl w:ilvl="5">
      <w:start w:val="1"/>
      <w:numFmt w:val="upperRoman"/>
      <w:lvlText w:val="%6."/>
      <w:lvlJc w:val="left"/>
      <w:pPr>
        <w:ind w:left="4320" w:hanging="480"/>
      </w:pPr>
    </w:lvl>
    <w:lvl w:ilvl="6">
      <w:start w:val="1"/>
      <w:numFmt w:val="upperRoman"/>
      <w:lvlText w:val="%7."/>
      <w:lvlJc w:val="left"/>
      <w:pPr>
        <w:ind w:left="5040" w:hanging="480"/>
      </w:pPr>
    </w:lvl>
    <w:lvl w:ilvl="7">
      <w:start w:val="1"/>
      <w:numFmt w:val="upperRoman"/>
      <w:lvlText w:val="%8."/>
      <w:lvlJc w:val="left"/>
      <w:pPr>
        <w:ind w:left="5760" w:hanging="480"/>
      </w:pPr>
    </w:lvl>
    <w:lvl w:ilvl="8">
      <w:start w:val="1"/>
      <w:numFmt w:val="upperRoman"/>
      <w:lvlText w:val="%9."/>
      <w:lvlJc w:val="left"/>
      <w:pPr>
        <w:ind w:left="6480" w:hanging="480"/>
      </w:pPr>
    </w:lvl>
  </w:abstractNum>
  <w:num w:numId="1000">
    <w:abstractNumId w:val="990"/>
  </w:num>
  <w:num w:numId="1001">
    <w:abstractNumId w:val="991"/>
  </w:num>
  <w:num w:numId="1002">
    <w:abstractNumId w:val="991"/>
  </w:num>
  <w:num w:numId="1003">
    <w:abstractNumId w:val="99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the European Capital: A Conference Paper</dc:title>
  <dc:creator/>
  <dc:language>en</dc:language>
  <cp:keywords/>
  <dcterms:created xsi:type="dcterms:W3CDTF">2026-07-29T14:02:41Z</dcterms:created>
  <dcterms:modified xsi:type="dcterms:W3CDTF">2026-07-29T14:02:41Z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