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949ae679d2dc06421ccd34e9deef5b43e69ce4c"/>
    <w:p>
      <w:pPr>
        <w:pStyle w:val="Heading1"/>
      </w:pPr>
      <w:r>
        <w:t xml:space="preserve">The Evolution of Financial Analysis in China Beijing:</w:t>
      </w:r>
      <w:r>
        <w:br/>
      </w:r>
      <w:r>
        <w:t xml:space="preserve">Navigating the Interplay of Traditional Markets and Digital Innovation</w:t>
      </w:r>
    </w:p>
    <w:bookmarkStart w:id="20" w:name="Xfe3dfea1a28e8dfbd15b3b711c931e0f1b4701c"/>
    <w:p>
      <w:pPr>
        <w:pStyle w:val="Heading3"/>
      </w:pPr>
      <w:r>
        <w:t xml:space="preserve">A Conference Paper Presented at the International Summit on Economic Development</w:t>
      </w:r>
      <w:r>
        <w:br/>
      </w:r>
      <w:r>
        <w:t xml:space="preserve">Beijing, China</w:t>
      </w:r>
    </w:p>
    <w:p>
      <w:pPr>
        <w:pStyle w:val="FirstParagraph"/>
      </w:pPr>
      <w:r>
        <w:rPr>
          <w:bCs/>
          <w:b/>
        </w:rPr>
        <w:t xml:space="preserve">Abstract:</w:t>
      </w:r>
    </w:p>
    <w:p>
      <w:pPr>
        <w:pStyle w:val="BodyText"/>
      </w:pPr>
      <w:r>
        <w:t xml:space="preserve">This paper examines the transformative role of the</w:t>
      </w:r>
      <w:r>
        <w:t xml:space="preserve"> </w:t>
      </w:r>
      <w:r>
        <w:rPr>
          <w:bCs/>
          <w:b/>
        </w:rPr>
        <w:t xml:space="preserve">Financial Analyst</w:t>
      </w:r>
      <w:r>
        <w:t xml:space="preserve"> </w:t>
      </w:r>
      <w:r>
        <w:t xml:space="preserve">within the dynamic economic landscape of</w:t>
      </w:r>
      <w:r>
        <w:t xml:space="preserve"> </w:t>
      </w:r>
      <w:r>
        <w:rPr>
          <w:bCs/>
          <w:b/>
        </w:rPr>
        <w:t xml:space="preserve">China Beijing</w:t>
      </w:r>
      <w:r>
        <w:t xml:space="preserve">. As one of the world’s most critical financial hubs, Beijing serves as a microcosm for understanding how regulatory frameworks, technological adoption, and cultural nuances converge to shape modern financial strategies. This study explores how contemporary</w:t>
      </w:r>
      <w:r>
        <w:t xml:space="preserve"> </w:t>
      </w:r>
      <w:r>
        <w:rPr>
          <w:iCs/>
          <w:i/>
        </w:rPr>
        <w:t xml:space="preserve">Financial Analysts</w:t>
      </w:r>
      <w:r>
        <w:t xml:space="preserve"> </w:t>
      </w:r>
      <w:r>
        <w:t xml:space="preserve">are adapting their methodologies to address the unique challenges posed by Beijing’s rapid digitalization and its position as China’s political and economic center. The findings suggest that while traditional analytical models remain foundational, the integration of big data analytics, artificial intelligence, and localized risk assessment models is essential for success in this specific geographic and regulatory context.</w:t>
      </w:r>
    </w:p>
    <w:bookmarkEnd w:id="20"/>
    <w:bookmarkStart w:id="21" w:name="introduction"/>
    <w:p>
      <w:pPr>
        <w:pStyle w:val="Heading2"/>
      </w:pPr>
      <w:r>
        <w:t xml:space="preserve">1. Introduction</w:t>
      </w:r>
    </w:p>
    <w:p>
      <w:pPr>
        <w:pStyle w:val="FirstParagraph"/>
      </w:pPr>
      <w:r>
        <w:t xml:space="preserve">The global financial ecosystem is undergoing a seismic shift, driven by geopolitical realignments and technological advancements. Within this broader context,</w:t>
      </w:r>
      <w:r>
        <w:t xml:space="preserve"> </w:t>
      </w:r>
      <w:r>
        <w:rPr>
          <w:bCs/>
          <w:b/>
        </w:rPr>
        <w:t xml:space="preserve">China Beijing</w:t>
      </w:r>
    </w:p>
    <w:p>
      <w:pPr>
        <w:pStyle w:val="BodyText"/>
      </w:pPr>
      <w:r>
        <w:br/>
      </w:r>
    </w:p>
    <w:p>
      <w:pPr>
        <w:pStyle w:val="BodyText"/>
      </w:pPr>
      <w:r>
        <w:t xml:space="preserve">stands out as a unique entity. Unlike Shanghai, which is often viewed as the commercial and trading heart of China's finance sector, Beijing holds the reins of policy-making, regulation, and state-owned enterprise management. Consequently, the role of a</w:t>
      </w:r>
      <w:r>
        <w:t xml:space="preserve"> </w:t>
      </w:r>
      <w:r>
        <w:rPr>
          <w:bCs/>
          <w:b/>
        </w:rPr>
        <w:t xml:space="preserve">Financial Analyst</w:t>
      </w:r>
      <w:r>
        <w:t xml:space="preserve"> </w:t>
      </w:r>
      <w:r>
        <w:t xml:space="preserve">in this city is distinct from their counterparts in global financial centers like New York or London.</w:t>
      </w:r>
    </w:p>
    <w:p>
      <w:pPr>
        <w:pStyle w:val="BodyText"/>
      </w:pPr>
      <w:r>
        <w:t xml:space="preserve">In</w:t>
      </w:r>
      <w:r>
        <w:t xml:space="preserve"> </w:t>
      </w:r>
      <w:r>
        <w:rPr>
          <w:bCs/>
          <w:b/>
        </w:rPr>
        <w:t xml:space="preserve">China Beijing</w:t>
      </w:r>
      <w:r>
        <w:t xml:space="preserve">, financial analysis is not merely about interpreting balance sheets; it involves navigating complex regulatory directives, understanding the influence of state policy on market liquidity, and leveraging cutting-edge fintech solutions. This paper aims to dissect these layers, providing a comprehensive overview of how the profession of a</w:t>
      </w:r>
      <w:r>
        <w:t xml:space="preserve"> </w:t>
      </w:r>
      <w:r>
        <w:rPr>
          <w:iCs/>
          <w:i/>
        </w:rPr>
        <w:t xml:space="preserve">Financial Analyst</w:t>
      </w:r>
      <w:r>
        <w:t xml:space="preserve"> </w:t>
      </w:r>
      <w:r>
        <w:t xml:space="preserve">has evolved to meet the demands of this high-stakes environment. By focusing on</w:t>
      </w:r>
      <w:r>
        <w:t xml:space="preserve"> </w:t>
      </w:r>
      <w:r>
        <w:rPr>
          <w:bCs/>
          <w:b/>
        </w:rPr>
        <w:t xml:space="preserve">China Beijing</w:t>
      </w:r>
      <w:r>
        <w:t xml:space="preserve">, we gain insight into how emerging markets can balance rapid innovation with strict regulatory oversight.</w:t>
      </w:r>
    </w:p>
    <w:bookmarkEnd w:id="21"/>
    <w:bookmarkStart w:id="24" w:name="Xfb0c50c9077af0fb1b5dfb7805c7a43cdb1334f"/>
    <w:p>
      <w:pPr>
        <w:pStyle w:val="Heading2"/>
      </w:pPr>
      <w:r>
        <w:t xml:space="preserve">2. The Regulatory Landscape in China Beijing</w:t>
      </w:r>
    </w:p>
    <w:p>
      <w:pPr>
        <w:pStyle w:val="FirstParagraph"/>
      </w:pPr>
      <w:r>
        <w:t xml:space="preserve">To understand the function of a</w:t>
      </w:r>
      <w:r>
        <w:t xml:space="preserve"> </w:t>
      </w:r>
      <w:r>
        <w:rPr>
          <w:bCs/>
          <w:b/>
        </w:rPr>
        <w:t xml:space="preserve">Financial Analyst</w:t>
      </w:r>
      <w:r>
        <w:t xml:space="preserve">, one must first appreciate the regulatory environment of</w:t>
      </w:r>
      <w:r>
        <w:t xml:space="preserve"> </w:t>
      </w:r>
      <w:r>
        <w:rPr>
          <w:bCs/>
          <w:b/>
        </w:rPr>
        <w:t xml:space="preserve">China Beijing</w:t>
      </w:r>
      <w:r>
        <w:t xml:space="preserve">. The city is home to key regulators such as the China Securities Regulatory Commission (CSRC) and the People’s Bank of China (PBOC). These institutions play a pivotal role in shaping market behavior.</w:t>
      </w:r>
    </w:p>
    <w:bookmarkStart w:id="22" w:name="policy-driven-market-movements"/>
    <w:p>
      <w:pPr>
        <w:pStyle w:val="Heading3"/>
      </w:pPr>
      <w:r>
        <w:t xml:space="preserve">2.1 Policy-Driven Market Movements</w:t>
      </w:r>
    </w:p>
    <w:p>
      <w:pPr>
        <w:pStyle w:val="FirstParagraph"/>
      </w:pPr>
      <w:r>
        <w:t xml:space="preserve">In</w:t>
      </w:r>
      <w:r>
        <w:t xml:space="preserve"> </w:t>
      </w:r>
      <w:r>
        <w:rPr>
          <w:bCs/>
          <w:b/>
        </w:rPr>
        <w:t xml:space="preserve">China Beijing</w:t>
      </w:r>
      <w:r>
        <w:t xml:space="preserve">, financial markets are heavily influenced by top-down policy decisions. A competent</w:t>
      </w:r>
      <w:r>
        <w:t xml:space="preserve"> </w:t>
      </w:r>
      <w:r>
        <w:rPr>
          <w:iCs/>
          <w:i/>
        </w:rPr>
        <w:t xml:space="preserve">Financial Analyst</w:t>
      </w:r>
      <w:r>
        <w:t xml:space="preserve"> </w:t>
      </w:r>
      <w:r>
        <w:t xml:space="preserve">must possess not only quantitative skills but also a deep understanding of macroeconomic policy trends. For instance, announcements regarding the "Dual Circulation" strategy or directives on green finance directly impact asset valuations and sector performance. Unlike in more market-driven economies where sentiment often dictates short-term movements, in</w:t>
      </w:r>
      <w:r>
        <w:t xml:space="preserve"> </w:t>
      </w:r>
      <w:r>
        <w:rPr>
          <w:bCs/>
          <w:b/>
        </w:rPr>
        <w:t xml:space="preserve">China Beijing</w:t>
      </w:r>
      <w:r>
        <w:t xml:space="preserve">, policy alignment is a critical component of risk assessment.</w:t>
      </w:r>
    </w:p>
    <w:bookmarkEnd w:id="22"/>
    <w:bookmarkStart w:id="23" w:name="data-security-and-compliance"/>
    <w:p>
      <w:pPr>
        <w:pStyle w:val="Heading3"/>
      </w:pPr>
      <w:r>
        <w:t xml:space="preserve">2.2 Data Security and Compliance</w:t>
      </w:r>
    </w:p>
    <w:p>
      <w:pPr>
        <w:pStyle w:val="FirstParagraph"/>
      </w:pPr>
      <w:r>
        <w:t xml:space="preserve">The implementation of strict data security laws, such as the Data Security Law and the Personal Information Protection Law (PIPL), has reshaped how</w:t>
      </w:r>
      <w:r>
        <w:t xml:space="preserve"> </w:t>
      </w:r>
      <w:r>
        <w:rPr>
          <w:iCs/>
          <w:i/>
        </w:rPr>
        <w:t xml:space="preserve">Financial Analysts</w:t>
      </w:r>
      <w:r>
        <w:t xml:space="preserve"> </w:t>
      </w:r>
      <w:r>
        <w:t xml:space="preserve">collect and process information. In</w:t>
      </w:r>
      <w:r>
        <w:t xml:space="preserve"> </w:t>
      </w:r>
      <w:r>
        <w:rPr>
          <w:bCs/>
          <w:b/>
        </w:rPr>
        <w:t xml:space="preserve">China Beijing</w:t>
      </w:r>
      <w:r>
        <w:t xml:space="preserve">, analysts must ensure that their models comply with national sovereignty over data. This adds a layer of complexity to financial modeling, requiring analysts to verify data provenance and ensure that cross-border data transfers adhere to stringent guidelines.</w:t>
      </w:r>
    </w:p>
    <w:bookmarkEnd w:id="23"/>
    <w:bookmarkEnd w:id="24"/>
    <w:bookmarkStart w:id="27" w:name="Xa41706940174424f2e28a8a43fac1baf429945c"/>
    <w:p>
      <w:pPr>
        <w:pStyle w:val="Heading2"/>
      </w:pPr>
      <w:r>
        <w:t xml:space="preserve">3. Technological Integration and Fintech Innovation</w:t>
      </w:r>
    </w:p>
    <w:p>
      <w:pPr>
        <w:pStyle w:val="FirstParagraph"/>
      </w:pPr>
      <w:r>
        <w:rPr>
          <w:bCs/>
          <w:b/>
        </w:rPr>
        <w:t xml:space="preserve">China Beijing</w:t>
      </w:r>
    </w:p>
    <w:p>
      <w:pPr>
        <w:pStyle w:val="BodyText"/>
      </w:pPr>
      <w:r>
        <w:br/>
      </w:r>
    </w:p>
    <w:p>
      <w:pPr>
        <w:pStyle w:val="BodyText"/>
      </w:pPr>
      <w:r>
        <w:t xml:space="preserve">-Beijing is a global leader in fintech adoption, hosting numerous tech giants and startups. For the</w:t>
      </w:r>
      <w:r>
        <w:t xml:space="preserve"> </w:t>
      </w:r>
      <w:r>
        <w:rPr>
          <w:iCs/>
          <w:i/>
        </w:rPr>
        <w:t xml:space="preserve">Financial Analyst</w:t>
      </w:r>
      <w:r>
        <w:t xml:space="preserve">, this presents both opportunities and challenges.</w:t>
      </w:r>
    </w:p>
    <w:bookmarkStart w:id="25" w:name="big-data-analytics"/>
    <w:p>
      <w:pPr>
        <w:pStyle w:val="Heading3"/>
      </w:pPr>
      <w:r>
        <w:t xml:space="preserve">3.1 Big Data Analytics</w:t>
      </w:r>
    </w:p>
    <w:p>
      <w:pPr>
        <w:pStyle w:val="FirstParagraph"/>
      </w:pPr>
      <w:r>
        <w:t xml:space="preserve">In</w:t>
      </w:r>
      <w:r>
        <w:t xml:space="preserve"> </w:t>
      </w:r>
      <w:r>
        <w:rPr>
          <w:bCs/>
          <w:b/>
        </w:rPr>
        <w:t xml:space="preserve">China Beijing</w:t>
      </w:r>
      <w:r>
        <w:t xml:space="preserve">, the volume of alternative data available is unprecedented. From consumer spending habits tracked via digital payment platforms to satellite imagery of factory activity,</w:t>
      </w:r>
      <w:r>
        <w:t xml:space="preserve"> </w:t>
      </w:r>
      <w:r>
        <w:rPr>
          <w:iCs/>
          <w:i/>
        </w:rPr>
        <w:t xml:space="preserve">Financial Analysts</w:t>
      </w:r>
      <w:r>
        <w:br/>
      </w:r>
      <w:r>
        <w:t xml:space="preserve">have access to granular data points that were previously unavailable. By leveraging machine learning algorithms, analysts in this region can predict market trends with greater accuracy. For example, analyzing traffic patterns around logistics hubs in Beijing can provide early indicators of supply chain disruptions.</w:t>
      </w:r>
    </w:p>
    <w:bookmarkEnd w:id="25"/>
    <w:bookmarkStart w:id="26" w:name="X2033c38f615c740e1415939b98e11573490cd93"/>
    <w:p>
      <w:pPr>
        <w:pStyle w:val="Heading3"/>
      </w:pPr>
      <w:r>
        <w:t xml:space="preserve">3.2 Artificial Intelligence in Risk Management</w:t>
      </w:r>
    </w:p>
    <w:p>
      <w:pPr>
        <w:pStyle w:val="FirstParagraph"/>
      </w:pPr>
      <w:r>
        <w:t xml:space="preserve">The use of AI is particularly prevalent in risk assessment within</w:t>
      </w:r>
      <w:r>
        <w:t xml:space="preserve"> </w:t>
      </w:r>
      <w:r>
        <w:rPr>
          <w:bCs/>
          <w:b/>
        </w:rPr>
        <w:t xml:space="preserve">China Beijing</w:t>
      </w:r>
      <w:r>
        <w:t xml:space="preserve">. Automated trading systems and credit scoring models utilize vast datasets to evaluate creditworthiness and market volatility. For the modern</w:t>
      </w:r>
      <w:r>
        <w:t xml:space="preserve"> </w:t>
      </w:r>
      <w:r>
        <w:rPr>
          <w:iCs/>
          <w:i/>
        </w:rPr>
        <w:t xml:space="preserve">Financial Analyst</w:t>
      </w:r>
      <w:r>
        <w:t xml:space="preserve">, proficiency in Python, R, or specialized financial software is no longer optional but essential. The ability to interpret AI-generated insights allows analysts to provide more nuanced recommendations to stakeholders.</w:t>
      </w:r>
    </w:p>
    <w:bookmarkEnd w:id="26"/>
    <w:bookmarkEnd w:id="27"/>
    <w:bookmarkStart w:id="30" w:name="cultural-and-strategic-nuances"/>
    <w:p>
      <w:pPr>
        <w:pStyle w:val="Heading2"/>
      </w:pPr>
      <w:r>
        <w:t xml:space="preserve">4. Cultural and Strategic Nuances</w:t>
      </w:r>
    </w:p>
    <w:p>
      <w:pPr>
        <w:pStyle w:val="FirstParagraph"/>
      </w:pPr>
      <w:r>
        <w:t xml:space="preserve">The role of a</w:t>
      </w:r>
      <w:r>
        <w:t xml:space="preserve"> </w:t>
      </w:r>
      <w:r>
        <w:rPr>
          <w:bCs/>
          <w:b/>
        </w:rPr>
        <w:t xml:space="preserve">Financial Analyst</w:t>
      </w:r>
    </w:p>
    <w:p>
      <w:pPr>
        <w:pStyle w:val="BodyText"/>
      </w:pPr>
      <w:r>
        <w:br/>
      </w:r>
    </w:p>
    <w:p>
      <w:pPr>
        <w:pStyle w:val="BodyText"/>
      </w:pPr>
      <w:r>
        <w:t xml:space="preserve">-is also deeply influenced by the cultural context of</w:t>
      </w:r>
      <w:r>
        <w:t xml:space="preserve"> </w:t>
      </w:r>
      <w:r>
        <w:rPr>
          <w:bCs/>
          <w:b/>
        </w:rPr>
        <w:t xml:space="preserve">China Beijing</w:t>
      </w:r>
      <w:r>
        <w:t xml:space="preserve">. Business relationships (Guanxi) remain significant, though they are increasingly formalized through digital platforms. Understanding the strategic priorities of state-owned enterprises (SOEs), which dominate many sectors in</w:t>
      </w:r>
      <w:r>
        <w:t xml:space="preserve"> </w:t>
      </w:r>
      <w:r>
        <w:rPr>
          <w:bCs/>
          <w:b/>
        </w:rPr>
        <w:t xml:space="preserve">China Beijing</w:t>
      </w:r>
      <w:r>
        <w:t xml:space="preserve">, is crucial for accurate valuation.</w:t>
      </w:r>
    </w:p>
    <w:bookmarkStart w:id="28" w:name="corporate-governance-and-esg"/>
    <w:p>
      <w:pPr>
        <w:pStyle w:val="Heading3"/>
      </w:pPr>
      <w:r>
        <w:t xml:space="preserve">4.1 Corporate Governance and ESG</w:t>
      </w:r>
    </w:p>
    <w:p>
      <w:pPr>
        <w:pStyle w:val="FirstParagraph"/>
      </w:pPr>
      <w:r>
        <w:t xml:space="preserve">In recent years, Environmental, Social, and Governance (ESG) criteria have gained prominence in</w:t>
      </w:r>
      <w:r>
        <w:t xml:space="preserve"> </w:t>
      </w:r>
      <w:r>
        <w:rPr>
          <w:bCs/>
          <w:b/>
        </w:rPr>
        <w:t xml:space="preserve">China Beijing</w:t>
      </w:r>
      <w:r>
        <w:t xml:space="preserve">. The Chinese government’s commitment to carbon neutrality by 2060 has driven a surge in green finance.</w:t>
      </w:r>
      <w:r>
        <w:t xml:space="preserve"> </w:t>
      </w:r>
      <w:r>
        <w:rPr>
          <w:iCs/>
          <w:i/>
        </w:rPr>
        <w:t xml:space="preserve">Financial Analysts</w:t>
      </w:r>
      <w:r>
        <w:br/>
      </w:r>
      <w:r>
        <w:t xml:space="preserve">are now required to integrate ESG metrics into their valuation models. In the context of</w:t>
      </w:r>
      <w:r>
        <w:t xml:space="preserve"> </w:t>
      </w:r>
      <w:r>
        <w:rPr>
          <w:bCs/>
          <w:b/>
        </w:rPr>
        <w:t xml:space="preserve">China Beijing</w:t>
      </w:r>
      <w:r>
        <w:t xml:space="preserve">, this means evaluating companies based on their alignment with national sustainability goals, which can significantly affect their access to capital and regulatory approvals.</w:t>
      </w:r>
    </w:p>
    <w:bookmarkEnd w:id="28"/>
    <w:bookmarkStart w:id="29" w:name="cross-border-investment-dynamics"/>
    <w:p>
      <w:pPr>
        <w:pStyle w:val="Heading3"/>
      </w:pPr>
      <w:r>
        <w:t xml:space="preserve">4.2 Cross-Border Investment Dynamics</w:t>
      </w:r>
    </w:p>
    <w:p>
      <w:pPr>
        <w:pStyle w:val="FirstParagraph"/>
      </w:pPr>
      <w:r>
        <w:rPr>
          <w:bCs/>
          <w:b/>
        </w:rPr>
        <w:t xml:space="preserve">China Beijing</w:t>
      </w:r>
    </w:p>
    <w:p>
      <w:pPr>
        <w:pStyle w:val="BodyText"/>
      </w:pPr>
      <w:r>
        <w:br/>
      </w:r>
    </w:p>
    <w:p>
      <w:pPr>
        <w:pStyle w:val="BodyText"/>
      </w:pPr>
      <w:r>
        <w:t xml:space="preserve">-serves as a gateway for international investment into China and vice versa.</w:t>
      </w:r>
      <w:r>
        <w:t xml:space="preserve"> </w:t>
      </w:r>
      <w:r>
        <w:rPr>
          <w:iCs/>
          <w:i/>
        </w:rPr>
        <w:t xml:space="preserve">Financial Analysts</w:t>
      </w:r>
      <w:r>
        <w:br/>
      </w:r>
      <w:r>
        <w:t xml:space="preserve">must navigate the complexities of cross-border capital flows, currency fluctuations, and geopolitical tensions. The ability to communicate effectively with both local stakeholders and international investors is a key skill for analysts operating in this hub.</w:t>
      </w:r>
    </w:p>
    <w:bookmarkEnd w:id="29"/>
    <w:bookmarkEnd w:id="30"/>
    <w:bookmarkStart w:id="32" w:name="Xa7d1752ee4b63d55f37a60e2a2acdfa11b20922"/>
    <w:p>
      <w:pPr>
        <w:pStyle w:val="Heading2"/>
      </w:pPr>
      <w:r>
        <w:t xml:space="preserve">5. Challenges Facing Financial Analysts in China Beijing</w:t>
      </w:r>
    </w:p>
    <w:p>
      <w:pPr>
        <w:pStyle w:val="FirstParagraph"/>
      </w:pPr>
      <w:r>
        <w:t xml:space="preserve">Despite the opportunities,</w:t>
      </w:r>
      <w:r>
        <w:t xml:space="preserve"> </w:t>
      </w:r>
      <w:r>
        <w:rPr>
          <w:iCs/>
          <w:i/>
        </w:rPr>
        <w:t xml:space="preserve">Financial Analysts</w:t>
      </w:r>
      <w:r>
        <w:br/>
      </w:r>
      <w:r>
        <w:t xml:space="preserve">in</w:t>
      </w:r>
      <w:r>
        <w:t xml:space="preserve"> </w:t>
      </w:r>
      <w:r>
        <w:rPr>
          <w:bCs/>
          <w:b/>
        </w:rPr>
        <w:t xml:space="preserve">China Beijing</w:t>
      </w:r>
    </w:p>
    <w:p>
      <w:pPr>
        <w:pStyle w:val="BodyText"/>
      </w:pPr>
      <w:r>
        <w:br/>
      </w:r>
    </w:p>
    <w:p>
      <w:pPr>
        <w:pStyle w:val="BodyText"/>
      </w:pPr>
      <w:r>
        <w:t xml:space="preserve">-face significant challenges. Market volatility driven by policy shifts can be unpredictable. Additionally, the rapid pace of technological change requires continuous upskilling. There is also a growing need for transparency and standardization in financial reporting, which remains a work in progress.</w:t>
      </w:r>
    </w:p>
    <w:bookmarkStart w:id="31" w:name="talent-shortages"/>
    <w:p>
      <w:pPr>
        <w:pStyle w:val="Heading3"/>
      </w:pPr>
      <w:r>
        <w:t xml:space="preserve">5.1 Talent Shortages</w:t>
      </w:r>
    </w:p>
    <w:p>
      <w:pPr>
        <w:pStyle w:val="FirstParagraph"/>
      </w:pPr>
      <w:r>
        <w:t xml:space="preserve">The demand for skilled</w:t>
      </w:r>
      <w:r>
        <w:t xml:space="preserve"> </w:t>
      </w:r>
      <w:r>
        <w:rPr>
          <w:iCs/>
          <w:i/>
        </w:rPr>
        <w:t xml:space="preserve">Financial Analysts</w:t>
      </w:r>
      <w:r>
        <w:br/>
      </w:r>
      <w:r>
        <w:t xml:space="preserve">who understand both traditional finance and advanced analytics is outstripping supply. Educational institutions and professional bodies in</w:t>
      </w:r>
      <w:r>
        <w:t xml:space="preserve"> </w:t>
      </w:r>
      <w:r>
        <w:rPr>
          <w:bCs/>
          <w:b/>
        </w:rPr>
        <w:t xml:space="preserve">China Beijing</w:t>
      </w:r>
      <w:r>
        <w:br/>
      </w:r>
      <w:r>
        <w:t xml:space="preserve">are responding by updating curricula to include data science and regulatory compliance modules.</w:t>
      </w:r>
    </w:p>
    <w:bookmarkEnd w:id="31"/>
    <w:bookmarkEnd w:id="32"/>
    <w:bookmarkStart w:id="33"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p>
    <w:p>
      <w:pPr>
        <w:pStyle w:val="BodyText"/>
      </w:pPr>
      <w:r>
        <w:br/>
      </w:r>
    </w:p>
    <w:p>
      <w:pPr>
        <w:pStyle w:val="BodyText"/>
      </w:pPr>
      <w:r>
        <w:t xml:space="preserve">-in</w:t>
      </w:r>
      <w:r>
        <w:t xml:space="preserve"> </w:t>
      </w:r>
      <w:r>
        <w:rPr>
          <w:bCs/>
          <w:b/>
        </w:rPr>
        <w:t xml:space="preserve">China Beijing</w:t>
      </w:r>
    </w:p>
    <w:p>
      <w:pPr>
        <w:pStyle w:val="BodyText"/>
      </w:pPr>
      <w:r>
        <w:br/>
      </w:r>
    </w:p>
    <w:p>
      <w:pPr>
        <w:pStyle w:val="BodyText"/>
      </w:pPr>
      <w:r>
        <w:t xml:space="preserve">-is evolving rapidly. The convergence of strict regulatory frameworks, advanced technological integration, and unique cultural dynamics creates a distinct professional environment. Success in this field requires a multifaceted approach: strong quantitative foundations, deep policy awareness, and adaptability to technological change.</w:t>
      </w:r>
    </w:p>
    <w:p>
      <w:pPr>
        <w:pStyle w:val="BodyText"/>
      </w:pPr>
      <w:r>
        <w:t xml:space="preserve">As</w:t>
      </w:r>
      <w:r>
        <w:t xml:space="preserve"> </w:t>
      </w:r>
      <w:r>
        <w:rPr>
          <w:bCs/>
          <w:b/>
        </w:rPr>
        <w:t xml:space="preserve">China Beijing</w:t>
      </w:r>
    </w:p>
    <w:p>
      <w:pPr>
        <w:pStyle w:val="BodyText"/>
      </w:pPr>
      <w:r>
        <w:br/>
      </w:r>
    </w:p>
    <w:p>
      <w:pPr>
        <w:pStyle w:val="BodyText"/>
      </w:pPr>
      <w:r>
        <w:t xml:space="preserve">-continues to assert its position as a global financial leader, the insights provided by skilled</w:t>
      </w:r>
      <w:r>
        <w:t xml:space="preserve"> </w:t>
      </w:r>
      <w:r>
        <w:rPr>
          <w:iCs/>
          <w:i/>
        </w:rPr>
        <w:t xml:space="preserve">Financial Analysts</w:t>
      </w:r>
      <w:r>
        <w:br/>
      </w:r>
      <w:r>
        <w:t xml:space="preserve">will be invaluable. They will not only guide investment decisions but also contribute to the stability and innovation of the broader economic ecosystem. Future research should focus on long-term trends in regulatory harmonization and the impact of AI on traditional analytical frameworks.</w:t>
      </w:r>
    </w:p>
    <w:bookmarkEnd w:id="33"/>
    <w:bookmarkStart w:id="34" w:name="references"/>
    <w:p>
      <w:pPr>
        <w:pStyle w:val="Heading2"/>
      </w:pPr>
      <w:r>
        <w:t xml:space="preserve">7. References</w:t>
      </w:r>
    </w:p>
    <w:p>
      <w:pPr>
        <w:numPr>
          <w:ilvl w:val="0"/>
          <w:numId w:val="1001"/>
        </w:numPr>
        <w:pStyle w:val="Compact"/>
      </w:pPr>
      <w:r>
        <w:t xml:space="preserve">PBOC Annual Reports (2018-2023)</w:t>
      </w:r>
    </w:p>
    <w:p>
      <w:pPr>
        <w:numPr>
          <w:ilvl w:val="0"/>
          <w:numId w:val="1001"/>
        </w:numPr>
        <w:pStyle w:val="Compact"/>
      </w:pPr>
      <w:r>
        <w:t xml:space="preserve">CSC Regulatory Guidelines on Data Security</w:t>
      </w:r>
    </w:p>
    <w:p>
      <w:pPr>
        <w:numPr>
          <w:ilvl w:val="0"/>
          <w:numId w:val="1001"/>
        </w:numPr>
        <w:pStyle w:val="Compact"/>
      </w:pPr>
      <w:r>
        <w:t xml:space="preserve">Journals of Chinese Economic Studies: "Digital Transformation in Beijing's Financial Sector"</w:t>
      </w:r>
    </w:p>
    <w:p>
      <w:pPr>
        <w:numPr>
          <w:ilvl w:val="0"/>
          <w:numId w:val="1001"/>
        </w:numPr>
        <w:pStyle w:val="Compact"/>
      </w:pPr>
      <w:r>
        <w:rPr>
          <w:iCs/>
          <w:i/>
        </w:rPr>
        <w:t xml:space="preserve">"The Role of Fintech in Emerging Markets,"</w:t>
      </w:r>
      <w:r>
        <w:t xml:space="preserve"> </w:t>
      </w:r>
      <w:r>
        <w:t xml:space="preserve">International Finance Review, Vol. 12.</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2026-07-29T14:02:17Z</dcterms:created>
  <dcterms:modified xsi:type="dcterms:W3CDTF">2026-07-29T14:02:17Z</dcterms:modified>
</cp:coreProperties>
</file>

<file path=docProps/custom.xml><?xml version="1.0" encoding="utf-8"?>
<Properties xmlns="http://schemas.openxmlformats.org/officeDocument/2006/custom-properties" xmlns:vt="http://schemas.openxmlformats.org/officeDocument/2006/docPropsVTypes"/>
</file>