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Paris: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Global</w:t>
      </w:r>
      <w:r>
        <w:t xml:space="preserve"> </w:t>
      </w:r>
      <w:r>
        <w:t xml:space="preserve">Integration</w:t>
      </w:r>
    </w:p>
    <w:bookmarkStart w:id="33" w:name="X2ad323c147934e3b2f11365c1335bf57117aec1"/>
    <w:p>
      <w:pPr>
        <w:pStyle w:val="Heading1"/>
      </w:pPr>
      <w:r>
        <w:t xml:space="preserve">The Strategic Role of the Financial Analyst in France Paris</w:t>
      </w:r>
      <w:r>
        <w:br/>
      </w:r>
      <w:r>
        <w:t xml:space="preserve">Navigating Regulatory Complexity and Global Integration in the European Capital</w:t>
      </w:r>
    </w:p>
    <w:p>
      <w:pPr>
        <w:pStyle w:val="FirstParagraph"/>
      </w:pPr>
      <w:r>
        <w:rPr>
          <w:bCs/>
          <w:b/>
        </w:rPr>
        <w:t xml:space="preserve">Author:</w:t>
      </w:r>
      <w:r>
        <w:t xml:space="preserve"> </w:t>
      </w:r>
      <w:r>
        <w:t xml:space="preserve">[Your Name/Conference Contributor]</w:t>
      </w:r>
      <w:r>
        <w:br/>
      </w:r>
      <w:r>
        <w:rPr>
          <w:bCs/>
          <w:b/>
        </w:rPr>
        <w:t xml:space="preserve">Affiliation:</w:t>
      </w:r>
      <w:r>
        <w:t xml:space="preserve"> </w:t>
      </w:r>
      <w:r>
        <w:t xml:space="preserve">Institute of Financial Economics and Strategic Management</w:t>
      </w:r>
      <w:r>
        <w:br/>
      </w:r>
      <w:r>
        <w:rPr>
          <w:bCs/>
          <w:b/>
        </w:rPr>
        <w:t xml:space="preserve">Date:</w:t>
      </w:r>
      <w:r>
        <w:t xml:space="preserve"> </w:t>
      </w:r>
      <w:r>
        <w:t xml:space="preserve">October 2023</w:t>
      </w:r>
      <w:r>
        <w:br/>
      </w:r>
    </w:p>
    <w:bookmarkStart w:id="20" w:name="abstract"/>
    <w:p>
      <w:pPr>
        <w:pStyle w:val="Heading3"/>
      </w:pPr>
      <w:r>
        <w:t xml:space="preserve">Abstract</w:t>
      </w:r>
    </w:p>
    <w:p>
      <w:pPr>
        <w:pStyle w:val="FirstParagraph"/>
      </w:pPr>
      <w:r>
        <w:t xml:space="preserve">The role of the Financial Analyst in France Paris has evolved significantly over the past decade, driven by post-pandemic economic recoveries, stringent European regulatory frameworks, and the digital transformation of financial markets. This paper examines how modern Financial Analysts operating in France Paris must balance deep local market knowledge with international compliance standards. We analyze the impact of AMF regulations on corporate decision-making, the integration of ESG (Environmental, Social, and Governance) criteria into valuation models specific to French enterprises, and the geopolitical implications of financial analysis within one Europe's most critical economic hubs. Our findings suggest that proficiency in both technical modeling and regulatory interpretation is paramount for Financial Analysts aiming to add value in France Paris.</w:t>
      </w:r>
    </w:p>
    <w:p>
      <w:pPr>
        <w:pStyle w:val="BodyText"/>
      </w:pPr>
      <w:r>
        <w:rPr>
          <w:bCs/>
          <w:b/>
        </w:rPr>
        <w:t xml:space="preserve">Keywords:</w:t>
      </w:r>
      <w:r>
        <w:t xml:space="preserve"> </w:t>
      </w:r>
      <w:r>
        <w:t xml:space="preserve">Financial Analyst, France Paris, Regulatory Compliance, ESG Valuation, AMF Regulations.</w:t>
      </w:r>
      <w:r>
        <w:br/>
      </w:r>
    </w:p>
    <w:bookmarkEnd w:id="20"/>
    <w:bookmarkStart w:id="21" w:name="introduction"/>
    <w:p>
      <w:pPr>
        <w:pStyle w:val="Heading2"/>
      </w:pPr>
      <w:r>
        <w:t xml:space="preserve">1. Introduction</w:t>
      </w:r>
    </w:p>
    <w:p>
      <w:pPr>
        <w:pStyle w:val="FirstParagraph"/>
      </w:pPr>
      <w:r>
        <w:t xml:space="preserve">The financial landscape of the early 21st century is characterized by volatility and rapid change. Nowhere is this more evident than in France Paris, a city that serves as not only the economic heart of France but also a pivotal node in the broader European financial ecosystem. For centuries, La Défense and central Paris have hosted major banks, insurance firms, and investment houses that shape continental capital flows. Within this high-stakes environment, the Financial Analyst plays an increasingly critical role beyond traditional number-crunching.</w:t>
      </w:r>
    </w:p>
    <w:p>
      <w:pPr>
        <w:pStyle w:val="BodyText"/>
      </w:pPr>
      <w:r>
        <w:t xml:space="preserve">Traditionally viewed as backward-looking reporters of financial health, the modern Financial Analyst in France Paris is now a forward-looking strategic advisor. This shift is necessitated by two primary forces: first, the complexity of French and EU regulatory environments; and secondly, the growing demand for sustainable investment solutions that require sophisticated analytical frameworks to assess long-term viability. This paper explores these dynamics, arguing that success as a Financial Analyst in this specific geographic context requires a hybrid skill set combining rigorous quantitative analysis with profound qualitative understanding of legal and cultural nuances.</w:t>
      </w:r>
    </w:p>
    <w:bookmarkEnd w:id="21"/>
    <w:bookmarkStart w:id="24" w:name="Xdba16b7d8a23c8823f0a215c564ab94f1c4cc90"/>
    <w:p>
      <w:pPr>
        <w:pStyle w:val="Heading2"/>
      </w:pPr>
      <w:r>
        <w:t xml:space="preserve">2. The Regulatory Environment in France Paris</w:t>
      </w:r>
    </w:p>
    <w:p>
      <w:pPr>
        <w:pStyle w:val="FirstParagraph"/>
      </w:pPr>
      <w:r>
        <w:t xml:space="preserve">To understand the contemporary mandate of the Financial Analyst in France Paris, one must first appreciate the regulatory framework governing financial activities. Unlike some markets that may prioritize deregulation or lenient oversight, French financial authorities maintain robust supervisory mechanisms designed to protect market integrity and investor confidence. The Autorité des Marchés Financiers (AMF) acts as the primary regulator, enforcing strict reporting standards and transparency requirements.</w:t>
      </w:r>
    </w:p>
    <w:bookmarkStart w:id="22" w:name="compliance-as-a-core-competency"/>
    <w:p>
      <w:pPr>
        <w:pStyle w:val="Heading3"/>
      </w:pPr>
      <w:r>
        <w:t xml:space="preserve">2.1 Compliance as a Core Competency</w:t>
      </w:r>
    </w:p>
    <w:p>
      <w:pPr>
        <w:pStyle w:val="FirstParagraph"/>
      </w:pPr>
      <w:r>
        <w:t xml:space="preserve">For any Financial Analyst working in France Paris, understanding AMF regulations is not optional; it is foundational. The analyst must ensure that all projections, risk assessments, and valuation reports adhere to local statutory obligations. This includes compliance with the EU’s MiFID II directive regarding transaction reporting and transparency. Inadequate adherence to these rules can result in severe penalties for firms and reputational damage for individuals.</w:t>
      </w:r>
    </w:p>
    <w:p>
      <w:pPr>
        <w:pStyle w:val="BodyText"/>
      </w:pPr>
      <w:r>
        <w:t xml:space="preserve">Furthermore, the integration of European directives into French national law creates a dual-layer regulatory burden. The Financial Analyst must navigate both Brussels-based policies and Parisian administrative requirements. This complexity demands that analysts possess not only financial acumen but also legal literacy. Case studies from recent years illustrate instances where firms in France Paris faced significant hurdles due to misinterpretation of cross-border reporting standards, highlighting the need for enhanced regulatory training programs within financial institutions.</w:t>
      </w:r>
    </w:p>
    <w:bookmarkEnd w:id="22"/>
    <w:bookmarkStart w:id="23" w:name="tax-implications-and-fiscal-strategy"/>
    <w:p>
      <w:pPr>
        <w:pStyle w:val="Heading3"/>
      </w:pPr>
      <w:r>
        <w:t xml:space="preserve">2.2 Tax Implications and Fiscal Strategy</w:t>
      </w:r>
    </w:p>
    <w:p>
      <w:pPr>
        <w:pStyle w:val="FirstParagraph"/>
      </w:pPr>
      <w:r>
        <w:t xml:space="preserve">In addition to securities regulation, the Financial Analyst in France Paris must account for complex tax structures. France’s corporate tax regime has undergone several reforms aimed at competitiveness while maintaining social equity goals. Understanding how these fiscal policies impact net income forecasts and cash flow projections is essential for accurate financial modeling. The analyst must work closely with tax advisors to incorporate potential legislative changes into their strategic recommendations, ensuring that clients or employers can optimize their fiscal positions within the bounds of the law.</w:t>
      </w:r>
    </w:p>
    <w:bookmarkEnd w:id="23"/>
    <w:bookmarkEnd w:id="24"/>
    <w:bookmarkStart w:id="27" w:name="X4544de86468d585da8e4711fe20fc510961c82d"/>
    <w:p>
      <w:pPr>
        <w:pStyle w:val="Heading2"/>
      </w:pPr>
      <w:r>
        <w:t xml:space="preserve">3. The Rise of ESG in French Financial Analysis</w:t>
      </w:r>
    </w:p>
    <w:p>
      <w:pPr>
        <w:pStyle w:val="FirstParagraph"/>
      </w:pPr>
      <w:r>
        <w:t xml:space="preserve">A defining characteristic of current financial analysis trends in France Paris is the mainstreaming of Environmental, Social, and Governance (ESG) factors. France has been at the forefront of sustainable finance regulation, particularly through the Energy-Climate Law and the Green Growth Order. As a result, Financial Analysts operating in this region are under increasing pressure to integrate non-financial metrics into traditional valuation models.</w:t>
      </w:r>
    </w:p>
    <w:bookmarkStart w:id="25" w:name="valuing-sustainability"/>
    <w:p>
      <w:pPr>
        <w:pStyle w:val="Heading3"/>
      </w:pPr>
      <w:r>
        <w:t xml:space="preserve">3.1 Valuing Sustainability</w:t>
      </w:r>
    </w:p>
    <w:p>
      <w:pPr>
        <w:pStyle w:val="FirstParagraph"/>
      </w:pPr>
      <w:r>
        <w:t xml:space="preserve">In Paris-based investment firms, it is no longer sufficient to evaluate a company solely based on EBITDA multiples or discounted cash flows. The Financial Analyst must assess carbon footprint risks, supply chain labor practices, and board diversity scores. This requires access to specialized data sets and the development of new analytical tools capable of quantifying the financial impact of ESG initiatives.</w:t>
      </w:r>
    </w:p>
    <w:p>
      <w:pPr>
        <w:pStyle w:val="BodyText"/>
      </w:pPr>
      <w:r>
        <w:t xml:space="preserve">For example, when analyzing a major French utility provider located in France Paris, a traditional analyst might focus on revenue growth from energy sales. However, a modern Financial Analyst must also model the potential costs associated with upcoming carbon taxes and the strategic advantages of investing in renewable infrastructure. This holistic approach provides stakeholders with a more accurate picture of long-term value creation and risk exposure.</w:t>
      </w:r>
    </w:p>
    <w:bookmarkEnd w:id="25"/>
    <w:bookmarkStart w:id="26" w:name="reporting-standards-and-transparency"/>
    <w:p>
      <w:pPr>
        <w:pStyle w:val="Heading3"/>
      </w:pPr>
      <w:r>
        <w:t xml:space="preserve">3.2 Reporting Standards and Transparency</w:t>
      </w:r>
    </w:p>
    <w:p>
      <w:pPr>
        <w:pStyle w:val="FirstParagraph"/>
      </w:pPr>
      <w:r>
        <w:t xml:space="preserve">The French government has mandated enhanced non-financial reporting for large enterprises, requiring detailed disclosures on environmental impacts and social responsibilities. The Financial Analyst is responsible for interpreting these disclosures to adjust credit ratings or equity recommendations accordingly. This shift towards greater transparency aligns with global trends but carries particular weight in France Paris due to the city’s reputation as a beacon of progressive economic policy.</w:t>
      </w:r>
    </w:p>
    <w:bookmarkEnd w:id="26"/>
    <w:bookmarkEnd w:id="27"/>
    <w:bookmarkStart w:id="30" w:name="Xf815b0714f6f4375798822bbe4346d29eff0318"/>
    <w:p>
      <w:pPr>
        <w:pStyle w:val="Heading2"/>
      </w:pPr>
      <w:r>
        <w:t xml:space="preserve">4. Technological Disruption and Data Analytics</w:t>
      </w:r>
    </w:p>
    <w:p>
      <w:pPr>
        <w:pStyle w:val="FirstParagraph"/>
      </w:pPr>
      <w:r>
        <w:t xml:space="preserve">The traditional tools of the Financial Analyst, such as Excel-based modeling and manual data compilation, are rapidly being supplemented—or replaced—by advanced technological solutions. In France Paris, fintech companies and established banks alike are investing heavily in artificial intelligence (AI), machine learning algorithms, and big data analytics.</w:t>
      </w:r>
    </w:p>
    <w:bookmarkStart w:id="28" w:name="automation-of-routine-tasks"/>
    <w:p>
      <w:pPr>
        <w:pStyle w:val="Heading3"/>
      </w:pPr>
      <w:r>
        <w:t xml:space="preserve">4.1 Automation of Routine Tasks</w:t>
      </w:r>
    </w:p>
    <w:p>
      <w:pPr>
        <w:pStyle w:val="FirstParagraph"/>
      </w:pPr>
      <w:r>
        <w:t xml:space="preserve">Data ingestion from stock exchanges in France Paris can now occur in real-time, allowing Financial Analysts to monitor market movements instantaneously. Automated systems handle routine tasks such as reconciliation and basic ratio calculations, freeing up human analysts to focus on strategic interpretation and client engagement. However, this shift raises questions about job displacement versus augmentation.</w:t>
      </w:r>
    </w:p>
    <w:bookmarkEnd w:id="28"/>
    <w:bookmarkStart w:id="29" w:name="X40bc8c8985279e2531198236c9c887f05907dca"/>
    <w:p>
      <w:pPr>
        <w:pStyle w:val="Heading3"/>
      </w:pPr>
      <w:r>
        <w:t xml:space="preserve">4.2 The Human Element in Strategic Decision-Making</w:t>
      </w:r>
    </w:p>
    <w:p>
      <w:pPr>
        <w:pStyle w:val="FirstParagraph"/>
      </w:pPr>
      <w:r>
        <w:t xml:space="preserve">While technology excels at processing vast amounts of structured data, it often struggles with contextual nuance. The Financial Analyst in France Paris brings critical thinking skills to bear on ambiguous situations, such as interpreting the impact of political instability or cultural shifts on consumer behavior. This irreplaceable human insight ensures that technological advancements serve as tools for enhancement rather than replacements for expertise.</w:t>
      </w:r>
    </w:p>
    <w:bookmarkEnd w:id="29"/>
    <w:bookmarkEnd w:id="30"/>
    <w:bookmarkStart w:id="31" w:name="conclusion"/>
    <w:p>
      <w:pPr>
        <w:pStyle w:val="Heading2"/>
      </w:pPr>
      <w:r>
        <w:t xml:space="preserve">5. Conclusion</w:t>
      </w:r>
    </w:p>
    <w:p>
      <w:pPr>
        <w:pStyle w:val="FirstParagraph"/>
      </w:pPr>
      <w:r>
        <w:t xml:space="preserve">The role of the Financial Analyst in France Paris has transcended its historical confines, evolving into a multidimensional profession that sits at the intersection of finance, law, technology, and ethics. As we have demonstrated throughout this paper, mastering regulatory compliance with entities like the AMF is essential for operational legitimacy in France Paris. Simultaneously, integrating ESG criteria reflects a broader societal mandate for responsible capitalism.</w:t>
      </w:r>
    </w:p>
    <w:p>
      <w:pPr>
        <w:pStyle w:val="BodyText"/>
      </w:pPr>
      <w:r>
        <w:t xml:space="preserve">Furthermore, embracing technological innovation allows Financial Analysts to process information more efficiently while retaining their strategic advisory role. For professionals aspiring to excel in this dynamic environment, continuous learning and adaptability are key. Institutions based in France Paris that invest in comprehensive training programs encompassing regulatory knowledge, ESG integration, and digital literacy will undoubtedly secure a competitive advantage.</w:t>
      </w:r>
    </w:p>
    <w:p>
      <w:pPr>
        <w:pStyle w:val="BodyText"/>
      </w:pPr>
      <w:r>
        <w:t xml:space="preserve">Looking ahead, the interplay between local French traditions and global financial pressures will continue to shape the profession. The Financial Analyst who thrives will be one who respects the deep-rooted heritage of French finance while boldly adapting to future challenges. Thus, this paper concludes that the synergy between rigorous analysis and contextual awareness defines success for any Financial Analyst operating in France Paris.</w:t>
      </w:r>
    </w:p>
    <w:bookmarkEnd w:id="31"/>
    <w:bookmarkStart w:id="32" w:name="references"/>
    <w:p>
      <w:pPr>
        <w:pStyle w:val="Heading2"/>
      </w:pPr>
      <w:r>
        <w:t xml:space="preserve">References</w:t>
      </w:r>
    </w:p>
    <w:p>
      <w:pPr>
        <w:numPr>
          <w:ilvl w:val="0"/>
          <w:numId w:val="1001"/>
        </w:numPr>
        <w:pStyle w:val="Compact"/>
      </w:pPr>
      <w:r>
        <w:t xml:space="preserve">Autorité des Marchés Financiers (AMF). (2023). Annual Report on Market Regulation in France.</w:t>
      </w:r>
    </w:p>
    <w:p>
      <w:pPr>
        <w:numPr>
          <w:ilvl w:val="0"/>
          <w:numId w:val="1001"/>
        </w:numPr>
        <w:pStyle w:val="Compact"/>
      </w:pPr>
      <w:r>
        <w:t xml:space="preserve">European Securities and Markets Authority. (2021). MiFID II: Impact Assessment and Future Directions.</w:t>
      </w:r>
    </w:p>
    <w:p>
      <w:pPr>
        <w:numPr>
          <w:ilvl w:val="0"/>
          <w:numId w:val="1001"/>
        </w:numPr>
        <w:pStyle w:val="Compact"/>
      </w:pPr>
      <w:r>
        <w:t xml:space="preserve">French Ministry of Economy and Finance. (2021). Energy-Climate Law Implementation Guidelines.</w:t>
      </w:r>
    </w:p>
    <w:p>
      <w:pPr>
        <w:numPr>
          <w:ilvl w:val="0"/>
          <w:numId w:val="1001"/>
        </w:numPr>
        <w:pStyle w:val="Compact"/>
      </w:pPr>
      <w:r>
        <w:t xml:space="preserve">Gillan, S. L., Koch, A., &amp; Starks, L. T. (2017). Firms and Social Responsibility: A Review of ESG and CSR Research in Corporate Finance.</w:t>
      </w:r>
    </w:p>
    <w:p>
      <w:pPr>
        <w:numPr>
          <w:ilvl w:val="0"/>
          <w:numId w:val="1001"/>
        </w:numPr>
        <w:pStyle w:val="Compact"/>
      </w:pPr>
      <w:r>
        <w:t xml:space="preserve">International Financial Reporting Standards Foundation. (2022). Sustainability Disclosure Standards: Implications for Analysts.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France Paris: Navigating Regulatory Complexity and Global Integration</dc:title>
  <dc:creator/>
  <dc:language>en</dc:language>
  <cp:keywords/>
  <dcterms:created xsi:type="dcterms:W3CDTF">2026-07-29T16:14:04Z</dcterms:created>
  <dcterms:modified xsi:type="dcterms:W3CDTF">2026-07-29T16:14:04Z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