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Navigating</w:t>
      </w:r>
      <w:r>
        <w:t xml:space="preserve"> </w:t>
      </w:r>
      <w:r>
        <w:t xml:space="preserve">Vision</w:t>
      </w:r>
      <w:r>
        <w:t xml:space="preserve"> </w:t>
      </w:r>
      <w:r>
        <w:t xml:space="preserve">2030</w:t>
      </w:r>
    </w:p>
    <w:p>
      <w:pPr>
        <w:pStyle w:val="FirstParagraph"/>
      </w:pPr>
      <w:r>
        <w:rPr>
          <w:bCs/>
          <w:b/>
        </w:rPr>
        <w:t xml:space="preserve">A Conference Paper Submitted to the International Symposium on Middle Eastern Economic Development</w:t>
      </w:r>
    </w:p>
    <w:p>
      <w:pPr>
        <w:pStyle w:val="BodyText"/>
      </w:pPr>
      <w:r>
        <w:t xml:space="preserve">Riyadh, Kingdom of Saudi Arabia</w:t>
      </w:r>
    </w:p>
    <w:bookmarkStart w:id="30" w:name="Xf132637a62feca606b5db8465a418ef9df5c2a4"/>
    <w:p>
      <w:pPr>
        <w:pStyle w:val="Heading1"/>
      </w:pPr>
      <w:r>
        <w:t xml:space="preserve">The Evolving Role of the Financial Analyst in Saudi Arabia Riyadh: Navigating Vision 2030 and Digital Transformation</w:t>
      </w:r>
    </w:p>
    <w:p>
      <w:pPr>
        <w:pStyle w:val="FirstParagraph"/>
      </w:pPr>
      <w:r>
        <w:rPr>
          <w:bCs/>
          <w:b/>
        </w:rPr>
        <w:t xml:space="preserve">Abstract</w:t>
      </w:r>
    </w:p>
    <w:p>
      <w:pPr>
        <w:pStyle w:val="BodyText"/>
      </w:pPr>
      <w:r>
        <w:t xml:space="preserve">This paper examines the critical transformation of the financial analyst profession within the Kingdom of Saudi Arabia, with a specific focus on its capital, Riyadh. As Saudi Arabia Riyadh emerges as a global hub for finance and innovation under Vision 2030, the traditional role of the financial analyst is undergoing a paradigm shift. This study explores how local professionals are adapting to new regulatory frameworks, integrating advanced data analytics technologies such as Artificial Intelligence (AI), and managing cross-border investments driven by the Public Investment Fund (PIF). The findings suggest that while technological adoption is accelerating, there remains a pressing need for specialized training in ethical governance and strategic foresight. The paper concludes with recommendations for academic institutions and corporate entities in Saudi Arabia Riyadh to foster a next-generation workforce capable of sustaining economic diversification.</w:t>
      </w:r>
    </w:p>
    <w:bookmarkStart w:id="20" w:name="introduction"/>
    <w:p>
      <w:pPr>
        <w:pStyle w:val="Heading2"/>
      </w:pPr>
      <w:r>
        <w:t xml:space="preserve">1. Introduction</w:t>
      </w:r>
    </w:p>
    <w:p>
      <w:pPr>
        <w:pStyle w:val="FirstParagraph"/>
      </w:pPr>
      <w:r>
        <w:t xml:space="preserve">The Kingdom of Saudi Arabia is currently undergoing one of the most significant economic transformations in modern history. Central to this metamorphosis is the implementation of Vision 2030, a strategic framework aimed at reducing dependence on oil, diversifying the economy, and developing public service sectors such as healthcare, education, infrastructure, recreation, and tourism. At the heart of this transformation lies Riyadh. As the political capital and growing financial center of Saudi Arabia Riyadh is rapidly becoming a nexus for regional banking assets.</w:t>
      </w:r>
    </w:p>
    <w:p>
      <w:pPr>
        <w:pStyle w:val="BodyText"/>
      </w:pPr>
      <w:r>
        <w:t xml:space="preserve">In this dynamic environment, the role of the financial analyst has evolved from simple data reporting to strategic decision-making support. Financial analysts are no longer just auditors of past performance; they are now predictive modelers and strategic advisors who must navigate complex global markets while adhering to local Sharia-compliant finance principles. This paper aims to analyze these shifts, focusing on the unique challenges and opportunities faced by financial analysts operating in Saudi Arabia Riyadh.</w:t>
      </w:r>
    </w:p>
    <w:bookmarkEnd w:id="20"/>
    <w:bookmarkStart w:id="21" w:name="X7507111a85ee1638c2788bd1d7848759ce5fef2"/>
    <w:p>
      <w:pPr>
        <w:pStyle w:val="Heading2"/>
      </w:pPr>
      <w:r>
        <w:t xml:space="preserve">2. The Impact of Vision 2030 on Financial Analysis</w:t>
      </w:r>
    </w:p>
    <w:p>
      <w:pPr>
        <w:pStyle w:val="FirstParagraph"/>
      </w:pPr>
      <w:r>
        <w:t xml:space="preserve">Vision 2030 has fundamentally altered the landscape for financial professionals in Saudi Arabia. The initiative mandates a shift from capital-intensive, resource-based growth to value-based, knowledge-driven industries. For the financial analyst in Saudi Arabia Riyadh, this means:</w:t>
      </w:r>
    </w:p>
    <w:p>
      <w:pPr>
        <w:numPr>
          <w:ilvl w:val="0"/>
          <w:numId w:val="1001"/>
        </w:numPr>
        <w:pStyle w:val="Compact"/>
      </w:pPr>
      <w:r>
        <w:rPr>
          <w:bCs/>
          <w:b/>
        </w:rPr>
        <w:t xml:space="preserve">Evaluation of Non-Oil Sectors:</w:t>
      </w:r>
      <w:r>
        <w:t xml:space="preserve"> </w:t>
      </w:r>
      <w:r>
        <w:t xml:space="preserve">Analysts must now possess deep expertise in sectors such as renewable energy, tourism, logistics, and mining. Understanding the profitability models of a theme park or a green hydrogen plant requires skills distinct from traditional oil and gas analysis.</w:t>
      </w:r>
    </w:p>
    <w:p>
      <w:pPr>
        <w:numPr>
          <w:ilvl w:val="0"/>
          <w:numId w:val="1001"/>
        </w:numPr>
        <w:pStyle w:val="Compact"/>
      </w:pPr>
      <w:r>
        <w:rPr>
          <w:bCs/>
          <w:b/>
        </w:rPr>
        <w:t xml:space="preserve">Mega-Projects Financing:</w:t>
      </w:r>
      <w:r>
        <w:t xml:space="preserve"> </w:t>
      </w:r>
      <w:r>
        <w:t xml:space="preserve">Projects like NEOM, The Line, and Qiddiya require complex financing structures involving international syndicates. Financial analysts in Riyadh are tasked with structuring deals that blend public funds with private equity, requiring sophisticated risk assessment capabilities.</w:t>
      </w:r>
    </w:p>
    <w:p>
      <w:pPr>
        <w:numPr>
          <w:ilvl w:val="0"/>
          <w:numId w:val="1001"/>
        </w:numPr>
        <w:pStyle w:val="Compact"/>
      </w:pPr>
      <w:r>
        <w:rPr>
          <w:bCs/>
          <w:b/>
        </w:rPr>
        <w:t xml:space="preserve">IPOs and Capital Markets:</w:t>
      </w:r>
      <w:r>
        <w:t xml:space="preserve"> </w:t>
      </w:r>
      <w:r>
        <w:t xml:space="preserve">The Saudi Stock Exchange (Tadawul) has seen a surge in Initial Public Offerings (IPOs). Analysts play a crucial role in valuation methodologies for these listings, ensuring compliance with the regulations set by the Capital Market Authority (CMA).</w:t>
      </w:r>
    </w:p>
    <w:bookmarkEnd w:id="21"/>
    <w:bookmarkStart w:id="24" w:name="X4b67bbd20c2b7f0b412ef6c597e3730df705c5e"/>
    <w:p>
      <w:pPr>
        <w:pStyle w:val="Heading2"/>
      </w:pPr>
      <w:r>
        <w:t xml:space="preserve">3. Technological Integration and Data Analytics</w:t>
      </w:r>
    </w:p>
    <w:p>
      <w:pPr>
        <w:pStyle w:val="FirstParagraph"/>
      </w:pPr>
      <w:r>
        <w:t xml:space="preserve">Riyadh has positioned itself as a smart city leader, driving immense adoption of technology within its financial sector. Financial analysts in Saudi Arabia Riyadh are increasingly expected to be proficient in data science tools. The integration of Big Data allows for real-time monitoring of market trends, customer behavior, and macroeconomic indicators.</w:t>
      </w:r>
    </w:p>
    <w:bookmarkStart w:id="22" w:name="X6006e989018f7584aabbb6a5be7966dcb002c69"/>
    <w:p>
      <w:pPr>
        <w:pStyle w:val="Heading3"/>
      </w:pPr>
      <w:r>
        <w:t xml:space="preserve">3.1 Artificial Intelligence and Machine Learning</w:t>
      </w:r>
    </w:p>
    <w:p>
      <w:pPr>
        <w:pStyle w:val="FirstParagraph"/>
      </w:pPr>
      <w:r>
        <w:t xml:space="preserve">Banks and fintech companies operating in Saudi Arabia Riyadh are leveraging AI to automate routine analytical tasks. Consequently, the role of the financial analyst is shifting towards high-level interpretation of algorithmic outputs. Analysts must validate machine learning models for bias, particularly when assessing creditworthiness in diverse populations.</w:t>
      </w:r>
    </w:p>
    <w:bookmarkEnd w:id="22"/>
    <w:bookmarkStart w:id="23" w:name="blockchain-and-fintech"/>
    <w:p>
      <w:pPr>
        <w:pStyle w:val="Heading3"/>
      </w:pPr>
      <w:r>
        <w:t xml:space="preserve">3.2 Blockchain and Fintech</w:t>
      </w:r>
    </w:p>
    <w:p>
      <w:pPr>
        <w:pStyle w:val="FirstParagraph"/>
      </w:pPr>
      <w:r>
        <w:t xml:space="preserve">The rise of fintech startups in Riyadh has introduced blockchain technology into mainstream financial operations. Financial analysts must understand the implications of decentralized finance (DeFi) and digital assets for portfolio management and regulatory compliance.</w:t>
      </w:r>
    </w:p>
    <w:bookmarkEnd w:id="23"/>
    <w:bookmarkEnd w:id="24"/>
    <w:bookmarkStart w:id="25" w:name="X8c7154accecdf063c5550fcf02e354e0f059d18"/>
    <w:p>
      <w:pPr>
        <w:pStyle w:val="Heading2"/>
      </w:pPr>
      <w:r>
        <w:t xml:space="preserve">4. Regulatory Frameworks and Ethical Considerations</w:t>
      </w:r>
    </w:p>
    <w:p>
      <w:pPr>
        <w:pStyle w:val="FirstParagraph"/>
      </w:pPr>
      <w:r>
        <w:t xml:space="preserve">A critical aspect of being a financial analyst in Saudi Arabia Riyadh is navigating the dual regulatory environment: international financial standards (such as IFRS) and local Islamic finance principles (Sharia compliance).</w:t>
      </w:r>
    </w:p>
    <w:p>
      <w:pPr>
        <w:numPr>
          <w:ilvl w:val="0"/>
          <w:numId w:val="1002"/>
        </w:numPr>
        <w:pStyle w:val="Compact"/>
      </w:pPr>
      <w:r>
        <w:rPr>
          <w:bCs/>
          <w:b/>
        </w:rPr>
        <w:t xml:space="preserve">Sharia Compliance:</w:t>
      </w:r>
      <w:r>
        <w:t xml:space="preserve"> </w:t>
      </w:r>
      <w:r>
        <w:t xml:space="preserve">Analysts must ensure that investment vehicles, hedging strategies, and corporate structures adhere to Islamic law. This requires a nuanced understanding of concepts like</w:t>
      </w:r>
      <w:r>
        <w:t xml:space="preserve"> </w:t>
      </w:r>
      <w:r>
        <w:rPr>
          <w:iCs/>
          <w:i/>
        </w:rPr>
        <w:t xml:space="preserve">Riba</w:t>
      </w:r>
      <w:r>
        <w:t xml:space="preserve"> </w:t>
      </w:r>
      <w:r>
        <w:t xml:space="preserve">(usury),</w:t>
      </w:r>
      <w:r>
        <w:t xml:space="preserve"> </w:t>
      </w:r>
      <w:r>
        <w:rPr>
          <w:iCs/>
          <w:i/>
        </w:rPr>
        <w:t xml:space="preserve">Gharar</w:t>
      </w:r>
      <w:r>
        <w:t xml:space="preserve"> </w:t>
      </w:r>
      <w:r>
        <w:t xml:space="preserve">(uncertainty), and asset-backed financing.</w:t>
      </w:r>
    </w:p>
    <w:p>
      <w:pPr>
        <w:numPr>
          <w:ilvl w:val="0"/>
          <w:numId w:val="1002"/>
        </w:numPr>
        <w:pStyle w:val="Compact"/>
      </w:pPr>
      <w:r>
        <w:rPr>
          <w:bCs/>
          <w:b/>
        </w:rPr>
        <w:t xml:space="preserve">Cybersecurity Regulations:</w:t>
      </w:r>
      <w:r>
        <w:t xml:space="preserve"> </w:t>
      </w:r>
      <w:r>
        <w:t xml:space="preserve">With Saudi Arabia Riyadh leading in digital transformation, data privacy is paramount. Analysts handle sensitive client data and must strictly adhere to the National Cybersecurity Authority’s guidelines.</w:t>
      </w:r>
    </w:p>
    <w:p>
      <w:pPr>
        <w:numPr>
          <w:ilvl w:val="0"/>
          <w:numId w:val="1002"/>
        </w:numPr>
        <w:pStyle w:val="Compact"/>
      </w:pPr>
      <w:r>
        <w:rPr>
          <w:bCs/>
          <w:b/>
        </w:rPr>
        <w:t xml:space="preserve">Saudization (Nitaqat):</w:t>
      </w:r>
      <w:r>
        <w:t xml:space="preserve"> </w:t>
      </w:r>
      <w:r>
        <w:t xml:space="preserve">The push for localizing jobs means that financial analysts in Saudi Arabia Riyadh are increasingly expected to bring fresh perspectives, having been trained in modern curricula that blend traditional finance with local cultural and legal contexts.</w:t>
      </w:r>
    </w:p>
    <w:bookmarkEnd w:id="25"/>
    <w:bookmarkStart w:id="26" w:name="challenges-facing-financial-analysts"/>
    <w:p>
      <w:pPr>
        <w:pStyle w:val="Heading2"/>
      </w:pPr>
      <w:r>
        <w:t xml:space="preserve">5. Challenges Facing Financial Analysts</w:t>
      </w:r>
    </w:p>
    <w:p>
      <w:pPr>
        <w:pStyle w:val="FirstParagraph"/>
      </w:pPr>
      <w:r>
        <w:t xml:space="preserve">Despite the opportunities, financial analysts in Saudi Arabia Riyadh face several hurdles:</w:t>
      </w:r>
    </w:p>
    <w:p>
      <w:pPr>
        <w:numPr>
          <w:ilvl w:val="0"/>
          <w:numId w:val="1003"/>
        </w:numPr>
        <w:pStyle w:val="Compact"/>
      </w:pPr>
      <w:r>
        <w:rPr>
          <w:bCs/>
          <w:b/>
        </w:rPr>
        <w:t xml:space="preserve">Skill Gaps:</w:t>
      </w:r>
    </w:p>
    <w:p>
      <w:pPr>
        <w:numPr>
          <w:ilvl w:val="0"/>
          <w:numId w:val="1003"/>
        </w:numPr>
        <w:pStyle w:val="Compact"/>
      </w:pPr>
      <w:r>
        <w:rPr>
          <w:bCs/>
          <w:b/>
        </w:rPr>
        <w:t xml:space="preserve">Global Volatility:</w:t>
      </w:r>
      <w:r>
        <w:t xml:space="preserve"> </w:t>
      </w:r>
      <w:r>
        <w:t xml:space="preserve">As Saudi Arabia Riyadh becomes more integrated into the global economy, analysts are exposed to international geopolitical risks and market fluctuations, requiring robust scenario planning abilities.</w:t>
      </w:r>
    </w:p>
    <w:p>
      <w:pPr>
        <w:numPr>
          <w:ilvl w:val="0"/>
          <w:numId w:val="1003"/>
        </w:numPr>
        <w:pStyle w:val="Compact"/>
      </w:pPr>
      <w:r>
        <w:rPr>
          <w:bCs/>
          <w:b/>
        </w:rPr>
        <w:t xml:space="preserve">Data Quality:</w:t>
      </w:r>
    </w:p>
    <w:bookmarkEnd w:id="26"/>
    <w:bookmarkStart w:id="27" w:name="recommendations"/>
    <w:p>
      <w:pPr>
        <w:pStyle w:val="Heading2"/>
      </w:pPr>
      <w:r>
        <w:t xml:space="preserve">6. Recommendations</w:t>
      </w:r>
    </w:p>
    <w:p>
      <w:pPr>
        <w:pStyle w:val="FirstParagraph"/>
      </w:pPr>
      <w:r>
        <w:t xml:space="preserve">To sustain the growth of the financial sector in Saudi Arabia Riyadh, several actions are recommended:</w:t>
      </w:r>
    </w:p>
    <w:p>
      <w:pPr>
        <w:numPr>
          <w:ilvl w:val="0"/>
          <w:numId w:val="1004"/>
        </w:numPr>
        <w:pStyle w:val="Compact"/>
      </w:pPr>
      <w:r>
        <w:rPr>
          <w:bCs/>
          <w:b/>
        </w:rPr>
        <w:t xml:space="preserve">Educational Reform:</w:t>
      </w:r>
    </w:p>
    <w:p>
      <w:pPr>
        <w:numPr>
          <w:ilvl w:val="0"/>
          <w:numId w:val="1004"/>
        </w:numPr>
        <w:pStyle w:val="Compact"/>
      </w:pPr>
      <w:r>
        <w:rPr>
          <w:bCs/>
          <w:b/>
        </w:rPr>
        <w:t xml:space="preserve">Industry-Academia Collaboration:</w:t>
      </w:r>
    </w:p>
    <w:p>
      <w:pPr>
        <w:numPr>
          <w:ilvl w:val="0"/>
          <w:numId w:val="1004"/>
        </w:numPr>
        <w:pStyle w:val="Compact"/>
      </w:pPr>
      <w:r>
        <w:rPr>
          <w:bCs/>
          <w:b/>
        </w:rPr>
        <w:t xml:space="preserve">Lifelong Learning:</w:t>
      </w:r>
    </w:p>
    <w:bookmarkEnd w:id="27"/>
    <w:bookmarkStart w:id="28" w:name="conclusion"/>
    <w:p>
      <w:pPr>
        <w:pStyle w:val="Heading2"/>
      </w:pPr>
      <w:r>
        <w:t xml:space="preserve">7. Conclusion</w:t>
      </w:r>
    </w:p>
    <w:p>
      <w:pPr>
        <w:pStyle w:val="FirstParagraph"/>
      </w:pPr>
      <w:r>
        <w:t xml:space="preserve">The financial analyst in Saudi Arabia Riyadh stands at the forefront of the Kingdom’s economic renaissance. The role has transcended traditional boundaries, demanding a hybrid skill set of financial acumen, technological proficiency, and cultural intelligence. As Saudi Arabia Riyadh continues to attract foreign direct investment and host global forums like FII (Future Investment Initiative), the demand for high-caliber financial analysts will only grow.</w:t>
      </w:r>
    </w:p>
    <w:p>
      <w:pPr>
        <w:pStyle w:val="BodyText"/>
      </w:pPr>
      <w:r>
        <w:t xml:space="preserve">Success in this evolving landscape requires not only technical excellence but also a deep commitment to the principles of Vision 2030. By embracing digital transformation while respecting local ethical frameworks, financial analysts in Saudi Arabia Riyadh will play a pivotal role in steering the nation toward a diversified, resilient, and prosperous future.</w:t>
      </w:r>
    </w:p>
    <w:bookmarkEnd w:id="28"/>
    <w:bookmarkStart w:id="29" w:name="references"/>
    <w:p>
      <w:pPr>
        <w:pStyle w:val="Heading2"/>
      </w:pPr>
      <w:r>
        <w:t xml:space="preserve">References</w:t>
      </w:r>
    </w:p>
    <w:p>
      <w:pPr>
        <w:numPr>
          <w:ilvl w:val="0"/>
          <w:numId w:val="1005"/>
        </w:numPr>
        <w:pStyle w:val="Compact"/>
      </w:pPr>
      <w:r>
        <w:t xml:space="preserve">Saudi Vision 2030 Official Website. (n.d.). Retrieved from [URL].</w:t>
      </w:r>
    </w:p>
    <w:p>
      <w:pPr>
        <w:numPr>
          <w:ilvl w:val="0"/>
          <w:numId w:val="1005"/>
        </w:numPr>
        <w:pStyle w:val="Compact"/>
      </w:pPr>
      <w:r>
        <w:t xml:space="preserve">Capital Market Authority (CMA). (2023). Annual Report on Saudi Stock Exchange Performance.</w:t>
      </w:r>
    </w:p>
    <w:p>
      <w:pPr>
        <w:numPr>
          <w:ilvl w:val="0"/>
          <w:numId w:val="1005"/>
        </w:numPr>
        <w:pStyle w:val="Compact"/>
      </w:pPr>
      <w:r>
        <w:t xml:space="preserve">Saudi Central Bank. (2024). Fintech Strategy and Digital Transformation Guidelines.</w:t>
      </w:r>
    </w:p>
    <w:p>
      <w:pPr>
        <w:numPr>
          <w:ilvl w:val="0"/>
          <w:numId w:val="1005"/>
        </w:numPr>
        <w:pStyle w:val="Compact"/>
      </w:pPr>
      <w:r>
        <w:t xml:space="preserve">KPMG Saudi Arabia. (2023). "The State of Finance in the Kingdom: Trends and Outlook."</w:t>
      </w:r>
    </w:p>
    <w:p>
      <w:pPr>
        <w:numPr>
          <w:ilvl w:val="0"/>
          <w:numId w:val="1005"/>
        </w:numPr>
        <w:pStyle w:val="Compact"/>
      </w:pPr>
      <w:r>
        <w:t xml:space="preserve">PwC Middle East. (2024). "Vision 2030 Impact Report: The Role of Financial Services."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Saudi Arabia Riyadh: Navigating Vision 2030</dc:title>
  <dc:creator/>
  <dc:language>en</dc:language>
  <cp:keywords/>
  <dcterms:created xsi:type="dcterms:W3CDTF">2026-07-29T11:51:11Z</dcterms:created>
  <dcterms:modified xsi:type="dcterms:W3CDTF">2026-07-29T11:51:11Z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