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Indonesia</w:t>
      </w:r>
      <w:r>
        <w:t xml:space="preserve"> </w:t>
      </w:r>
      <w:r>
        <w:t xml:space="preserve">Jakarta</w:t>
      </w:r>
    </w:p>
    <w:bookmarkStart w:id="29" w:name="X896d4b3d2e9a82f9eaeab889e7f22c6b698b1aa"/>
    <w:p>
      <w:pPr>
        <w:pStyle w:val="Heading1"/>
      </w:pPr>
      <w:r>
        <w:t xml:space="preserve">Bridging Tradition and Modernity in Digital Spaces</w:t>
      </w:r>
    </w:p>
    <w:bookmarkStart w:id="21" w:name="X4ed5f140c652f75363e38a01a0d5d1d6d765029"/>
    <w:p>
      <w:pPr>
        <w:pStyle w:val="Heading2"/>
      </w:pPr>
      <w:r>
        <w:t xml:space="preserve">The Evolving Role of the Graphic Designer in Indonesia Jakarta’s Creative Economy</w:t>
      </w:r>
    </w:p>
    <w:p>
      <w:pPr>
        <w:pStyle w:val="FirstParagraph"/>
      </w:pPr>
      <w:r>
        <w:rPr>
          <w:bCs/>
          <w:b/>
        </w:rPr>
        <w:t xml:space="preserve">[Author Name]</w:t>
      </w:r>
      <w:r>
        <w:br/>
      </w:r>
      <w:r>
        <w:rPr>
          <w:bCs/>
          <w:b/>
        </w:rPr>
        <w:t xml:space="preserve">Institute of Visual Arts and Design</w:t>
      </w:r>
      <w:r>
        <w:br/>
      </w:r>
      <w:r>
        <w:rPr>
          <w:bCs/>
          <w:b/>
        </w:rPr>
        <w:t xml:space="preserve">Jakarta, Indonesia</w:t>
      </w:r>
    </w:p>
    <w:bookmarkStart w:id="20" w:name="abstract"/>
    <w:p>
      <w:pPr>
        <w:pStyle w:val="Heading3"/>
      </w:pPr>
      <w:r>
        <w:t xml:space="preserve">Abstract</w:t>
      </w:r>
    </w:p>
    <w:p>
      <w:pPr>
        <w:pStyle w:val="FirstParagraph"/>
      </w:pPr>
      <w:r>
        <w:t xml:space="preserve">This conference paper explores the multifaceted role of the</w:t>
      </w:r>
      <w:r>
        <w:t xml:space="preserve"> </w:t>
      </w:r>
      <w:r>
        <w:rPr>
          <w:bCs/>
          <w:b/>
        </w:rPr>
        <w:t xml:space="preserve">Graphic Designer</w:t>
      </w:r>
      <w:r>
        <w:t xml:space="preserve"> </w:t>
      </w:r>
      <w:r>
        <w:t xml:space="preserve">within the rapidly urbanizing and digitalizing context of</w:t>
      </w:r>
      <w:r>
        <w:t xml:space="preserve"> </w:t>
      </w:r>
      <w:r>
        <w:rPr>
          <w:bCs/>
          <w:b/>
        </w:rPr>
        <w:t xml:space="preserve">Indonesia Jakarta</w:t>
      </w:r>
      <w:r>
        <w:t xml:space="preserve">. As Southeast Asia’s economic hub, Jakarta serves as a unique crucible where traditional cultural aesthetics collide with modern global design trends. This study analyzes how local designers navigate the dichotomy between preserving indigenous heritage and adopting international standards. Furthermore, it examines the impact of digital transformation on the profession, highlighting case studies from prominent</w:t>
      </w:r>
      <w:r>
        <w:t xml:space="preserve"> </w:t>
      </w:r>
      <w:r>
        <w:rPr>
          <w:bCs/>
          <w:b/>
        </w:rPr>
        <w:t xml:space="preserve">Indonesia Jakarta</w:t>
      </w:r>
      <w:r>
        <w:t xml:space="preserve"> </w:t>
      </w:r>
      <w:r>
        <w:t xml:space="preserve">agencies. The findings suggest that the contemporary</w:t>
      </w:r>
      <w:r>
        <w:t xml:space="preserve"> </w:t>
      </w:r>
      <w:r>
        <w:rPr>
          <w:bCs/>
          <w:b/>
        </w:rPr>
        <w:t xml:space="preserve">Graphic Designer</w:t>
      </w:r>
      <w:r>
        <w:t xml:space="preserve"> </w:t>
      </w:r>
      <w:r>
        <w:t xml:space="preserve">is no longer merely a visual stylist but a strategic cultural interpreter essential to Indonesia’s soft power and digital economy.</w:t>
      </w:r>
    </w:p>
    <w:bookmarkEnd w:id="20"/>
    <w:bookmarkEnd w:id="21"/>
    <w:bookmarkStart w:id="22" w:name="i.-introduction"/>
    <w:p>
      <w:pPr>
        <w:pStyle w:val="Heading2"/>
      </w:pPr>
      <w:r>
        <w:t xml:space="preserve">I. Introduction</w:t>
      </w:r>
    </w:p>
    <w:p>
      <w:pPr>
        <w:pStyle w:val="FirstParagraph"/>
      </w:pPr>
      <w:r>
        <w:t xml:space="preserve">In the last two decades, the metropolitan landscape of</w:t>
      </w:r>
      <w:r>
        <w:t xml:space="preserve"> </w:t>
      </w:r>
      <w:r>
        <w:rPr>
          <w:bCs/>
          <w:b/>
        </w:rPr>
        <w:t xml:space="preserve">Indonesia Jakarta</w:t>
      </w:r>
      <w:r>
        <w:t xml:space="preserve">s has undergone a seismic shift, transforming from a traditional colonial port city into one of Asia’s most dynamic megacities. With a population exceeding ten million and a burgeoning middle class, the city has become the epicenter of Indonesia’s creative economy. At the heart of this transformation lies a critical professional demographic: the</w:t>
      </w:r>
      <w:r>
        <w:t xml:space="preserve"> </w:t>
      </w:r>
      <w:r>
        <w:rPr>
          <w:bCs/>
          <w:b/>
        </w:rPr>
        <w:t xml:space="preserve">Graphic Designer</w:t>
      </w:r>
      <w:r>
        <w:t xml:space="preserve">. No longer confined to print media or static advertising, these visual communicators are now pivotal in shaping brand identities, digital interfaces, and cultural narratives for both domestic and global audiences.</w:t>
      </w:r>
    </w:p>
    <w:p>
      <w:pPr>
        <w:pStyle w:val="BodyText"/>
      </w:pPr>
      <w:r>
        <w:t xml:space="preserve">The purpose of this paper is to critically evaluate the current state of design practice in</w:t>
      </w:r>
      <w:r>
        <w:t xml:space="preserve"> </w:t>
      </w:r>
      <w:r>
        <w:rPr>
          <w:bCs/>
          <w:b/>
        </w:rPr>
        <w:t xml:space="preserve">Indonesia Jakarta</w:t>
      </w:r>
      <w:r>
        <w:t xml:space="preserve">. Specifically, it addresses three core areas: the integration of traditional Javanese and Betawi aesthetics into modern digital designs; the influence of globalization on design education and standards; and the economic implications for creative industries. By focusing on these aspects, we aim to demonstrate that the</w:t>
      </w:r>
      <w:r>
        <w:t xml:space="preserve"> </w:t>
      </w:r>
      <w:r>
        <w:rPr>
          <w:bCs/>
          <w:b/>
        </w:rPr>
        <w:t xml:space="preserve">Graphic Designer</w:t>
      </w:r>
      <w:r>
        <w:t xml:space="preserve"> </w:t>
      </w:r>
      <w:r>
        <w:t xml:space="preserve">in Jakarta is a key agent in defining Indonesia’s contemporary cultural identity.</w:t>
      </w:r>
    </w:p>
    <w:bookmarkEnd w:id="22"/>
    <w:bookmarkStart w:id="23" w:name="X96d623988c5d21d5e3b344f5cc71b194d29c426"/>
    <w:p>
      <w:pPr>
        <w:pStyle w:val="Heading2"/>
      </w:pPr>
      <w:r>
        <w:t xml:space="preserve">II. Historical Context: From Colonial Prints to Digital Canvases</w:t>
      </w:r>
    </w:p>
    <w:p>
      <w:pPr>
        <w:pStyle w:val="FirstParagraph"/>
      </w:pPr>
      <w:r>
        <w:t xml:space="preserve">To understand the present, one must examine the past. Historically, design in</w:t>
      </w:r>
      <w:r>
        <w:t xml:space="preserve"> </w:t>
      </w:r>
      <w:r>
        <w:rPr>
          <w:bCs/>
          <w:b/>
        </w:rPr>
        <w:t xml:space="preserve">Indonesia Jakarta</w:t>
      </w:r>
      <w:r>
        <w:t xml:space="preserve">s was heavily influenced by colonial aesthetics and later, by state-sponsored propaganda during the Sukarno era. However, following the Reformasi period in 1998, there was an explosion of creative freedom. This political shift allowed for a resurgence of local arts and crafts, providing a rich repository of visual motifs for designers.</w:t>
      </w:r>
    </w:p>
    <w:p>
      <w:pPr>
        <w:pStyle w:val="BodyText"/>
      </w:pPr>
      <w:r>
        <w:t xml:space="preserve">The emergence of the modern</w:t>
      </w:r>
      <w:r>
        <w:t xml:space="preserve"> </w:t>
      </w:r>
      <w:r>
        <w:rPr>
          <w:bCs/>
          <w:b/>
        </w:rPr>
        <w:t xml:space="preserve">Graphic Designer</w:t>
      </w:r>
      <w:r>
        <w:t xml:space="preserve">s profession in Jakarta can be traced to the late 1990s and early 2000s, coinciding with the rise of personal computing and internet connectivity. Early practitioners often relied on foreign design software without a localized curriculum, leading to a homogenization of styles that mirrored Western trends. However, as digital literacy spread through Indonesian universities and private institutions in</w:t>
      </w:r>
      <w:r>
        <w:t xml:space="preserve"> </w:t>
      </w:r>
      <w:r>
        <w:rPr>
          <w:bCs/>
          <w:b/>
        </w:rPr>
        <w:t xml:space="preserve">Indonesia Jakarta</w:t>
      </w:r>
      <w:r>
        <w:t xml:space="preserve">, a new generation of designers began to question this mimicry. They sought ways to embed local narratives into their work, giving rise to what scholars call "Glocal Design"—a hybrid approach that is globally competent yet locally rooted.</w:t>
      </w:r>
    </w:p>
    <w:bookmarkEnd w:id="23"/>
    <w:bookmarkStart w:id="24" w:name="Xa1ac521c85d99d4bafa52b140e0142db0c54d91"/>
    <w:p>
      <w:pPr>
        <w:pStyle w:val="Heading2"/>
      </w:pPr>
      <w:r>
        <w:t xml:space="preserve">III. The Aesthetic Synthesis: Heritage Meets Technology</w:t>
      </w:r>
    </w:p>
    <w:p>
      <w:pPr>
        <w:pStyle w:val="FirstParagraph"/>
      </w:pPr>
      <w:r>
        <w:t xml:space="preserve">A defining characteristic of the contemporary</w:t>
      </w:r>
      <w:r>
        <w:t xml:space="preserve"> </w:t>
      </w:r>
      <w:r>
        <w:rPr>
          <w:bCs/>
          <w:b/>
        </w:rPr>
        <w:t xml:space="preserve">Graphic Designer</w:t>
      </w:r>
      <w:r>
        <w:t xml:space="preserve">s work in</w:t>
      </w:r>
      <w:r>
        <w:t xml:space="preserve"> </w:t>
      </w:r>
      <w:r>
        <w:rPr>
          <w:bCs/>
          <w:b/>
        </w:rPr>
        <w:t xml:space="preserve">Indonesia Jakarta</w:t>
      </w:r>
      <w:r>
        <w:t xml:space="preserve">s is the deliberate synthesis of traditional and modern elements. Indonesia’s cultural tapestry is incredibly diverse, featuring intricate batik patterns, wayang (shadow puppet) silhouettes, and ornate architectural details from temples and mosques. Skilled designers in the capital leverage these elements to create visuals that resonate deeply with local audiences while maintaining international appeal.</w:t>
      </w:r>
    </w:p>
    <w:p>
      <w:pPr>
        <w:pStyle w:val="BodyText"/>
      </w:pPr>
      <w:r>
        <w:t xml:space="preserve">For instance, recent branding campaigns for Indonesian tourism startups in Jakarta have utilized traditional batik motifs reimagined through minimalist vector graphics. This approach not only honors cultural heritage but also simplifies complex patterns for digital scalability. The</w:t>
      </w:r>
      <w:r>
        <w:t xml:space="preserve"> </w:t>
      </w:r>
      <w:r>
        <w:rPr>
          <w:bCs/>
          <w:b/>
        </w:rPr>
        <w:t xml:space="preserve">Graphic Designer</w:t>
      </w:r>
      <w:r>
        <w:t xml:space="preserve">s role here is dual: they must possess technical proficiency in software such as Adobe Creative Suite and Figma, but also possess a deep anthropological understanding of Indonesian symbols to ensure respectful and accurate representation.</w:t>
      </w:r>
    </w:p>
    <w:p>
      <w:pPr>
        <w:pStyle w:val="BodyText"/>
      </w:pPr>
      <w:r>
        <w:t xml:space="preserve">This aesthetic negotiation is particularly challenging in</w:t>
      </w:r>
      <w:r>
        <w:t xml:space="preserve"> </w:t>
      </w:r>
      <w:r>
        <w:rPr>
          <w:bCs/>
          <w:b/>
        </w:rPr>
        <w:t xml:space="preserve">Indonesia Jakarta</w:t>
      </w:r>
      <w:r>
        <w:t xml:space="preserve">s multicultural environment. The city is home to various ethnic groups, each with distinct visual languages. A successful design strategy must navigate these differences, creating a unified visual identity that does not alienate any specific subgroup but rather celebrates the pluralism of the nation.</w:t>
      </w:r>
    </w:p>
    <w:bookmarkEnd w:id="24"/>
    <w:bookmarkStart w:id="25" w:name="X63aeb7e84d390b2dc9c08ad41a78765d1eb1d2a"/>
    <w:p>
      <w:pPr>
        <w:pStyle w:val="Heading2"/>
      </w:pPr>
      <w:r>
        <w:t xml:space="preserve">IV. Digital Transformation and Economic Impact</w:t>
      </w:r>
    </w:p>
    <w:p>
      <w:pPr>
        <w:pStyle w:val="FirstParagraph"/>
      </w:pPr>
      <w:r>
        <w:t xml:space="preserve">The rise of e-commerce, social media, and digital marketing has fundamentally altered the demand for</w:t>
      </w:r>
      <w:r>
        <w:t xml:space="preserve"> </w:t>
      </w:r>
      <w:r>
        <w:rPr>
          <w:bCs/>
          <w:b/>
        </w:rPr>
        <w:t xml:space="preserve">Graphic Designer</w:t>
      </w:r>
      <w:r>
        <w:t xml:space="preserve">s services in</w:t>
      </w:r>
      <w:r>
        <w:t xml:space="preserve"> </w:t>
      </w:r>
      <w:r>
        <w:rPr>
          <w:bCs/>
          <w:b/>
        </w:rPr>
        <w:t xml:space="preserve">Indonesia Jakarta</w:t>
      </w:r>
      <w:r>
        <w:t xml:space="preserve">s. The traditional agency model is competing with freelance platforms and in-house creative teams within tech startups. This shift has necessitated a new skill set, requiring designers to be agile, data-driven, and proficient in UX/UI design principles.</w:t>
      </w:r>
    </w:p>
    <w:p>
      <w:pPr>
        <w:pStyle w:val="BodyText"/>
      </w:pPr>
      <w:r>
        <w:t xml:space="preserve">Economically, the impact is significant. As Indonesia aims to become a digital powerhouse by 2045 (Visi Indonesia 2045), the value of creative industries is projected to grow exponentially. In</w:t>
      </w:r>
      <w:r>
        <w:t xml:space="preserve"> </w:t>
      </w:r>
      <w:r>
        <w:rPr>
          <w:bCs/>
          <w:b/>
        </w:rPr>
        <w:t xml:space="preserve">Indonesia Jakarta</w:t>
      </w:r>
      <w:r>
        <w:t xml:space="preserve">s Central Business Districts (CBD) such as Sudirman and Kuningan, we see a surge in demand for high-quality visual communication that can cut through the noise of a saturated digital market. The</w:t>
      </w:r>
      <w:r>
        <w:t xml:space="preserve"> </w:t>
      </w:r>
      <w:r>
        <w:rPr>
          <w:bCs/>
          <w:b/>
        </w:rPr>
        <w:t xml:space="preserve">Graphic Designer</w:t>
      </w:r>
      <w:r>
        <w:t xml:space="preserve">s ability to craft compelling visual stories directly correlates with brand equity and consumer engagement.</w:t>
      </w:r>
    </w:p>
    <w:p>
      <w:pPr>
        <w:pStyle w:val="BodyText"/>
      </w:pPr>
      <w:r>
        <w:t xml:space="preserve">Moreover, the gig economy has allowed designers in Jakarta to export their services globally. Freelancers from</w:t>
      </w:r>
      <w:r>
        <w:t xml:space="preserve"> </w:t>
      </w:r>
      <w:r>
        <w:rPr>
          <w:bCs/>
          <w:b/>
        </w:rPr>
        <w:t xml:space="preserve">Indonesia Jakarta</w:t>
      </w:r>
      <w:r>
        <w:t xml:space="preserve">s are increasingly finding clients in Europe, North America, and other parts of Asia. This global integration raises the standard of living for many creatives but also exposes them to international competition, pressuring them to maintain world-class quality while retaining their unique Indonesian flavor.</w:t>
      </w:r>
    </w:p>
    <w:bookmarkEnd w:id="25"/>
    <w:bookmarkStart w:id="26" w:name="v.-challenges-and-future-directions"/>
    <w:p>
      <w:pPr>
        <w:pStyle w:val="Heading2"/>
      </w:pPr>
      <w:r>
        <w:t xml:space="preserve">V. Challenges and Future Directions</w:t>
      </w:r>
    </w:p>
    <w:p>
      <w:pPr>
        <w:pStyle w:val="FirstParagraph"/>
      </w:pPr>
      <w:r>
        <w:t xml:space="preserve">Despite the growth, challenges remain. Issues such as intellectual property rights enforcement are still evolving in</w:t>
      </w:r>
      <w:r>
        <w:t xml:space="preserve"> </w:t>
      </w:r>
      <w:r>
        <w:rPr>
          <w:bCs/>
          <w:b/>
        </w:rPr>
        <w:t xml:space="preserve">Indonesia Jakarta</w:t>
      </w:r>
      <w:r>
        <w:t xml:space="preserve">s legal framework, often leaving</w:t>
      </w:r>
      <w:r>
        <w:t xml:space="preserve"> </w:t>
      </w:r>
      <w:r>
        <w:rPr>
          <w:bCs/>
          <w:b/>
        </w:rPr>
        <w:t xml:space="preserve">Graphic Designer</w:t>
      </w:r>
      <w:r>
        <w:t xml:space="preserve">s vulnerable to plagiarism and unpaid work. Additionally, there is a skills gap in higher education institutions that struggle to keep pace with the rapid technological changes in the industry.</w:t>
      </w:r>
    </w:p>
    <w:p>
      <w:pPr>
        <w:pStyle w:val="BodyText"/>
      </w:pPr>
      <w:r>
        <w:t xml:space="preserve">To address these issues, this paper recommends stronger collaboration between academia, government bodies like the Ministry of Creative Economy (Bekraf), and industry players. Workshops on digital literacy and ethical design practices should be institutionalized. Furthermore, promoting</w:t>
      </w:r>
      <w:r>
        <w:t xml:space="preserve"> </w:t>
      </w:r>
      <w:r>
        <w:rPr>
          <w:bCs/>
          <w:b/>
        </w:rPr>
        <w:t xml:space="preserve">Indonesia Jakarta</w:t>
      </w:r>
      <w:r>
        <w:t xml:space="preserve">s design scene through international exhibitions can elevate the status of local designers.</w:t>
      </w:r>
    </w:p>
    <w:bookmarkEnd w:id="26"/>
    <w:bookmarkStart w:id="28" w:name="vi.-conclusion"/>
    <w:p>
      <w:pPr>
        <w:pStyle w:val="Heading2"/>
      </w:pPr>
      <w:r>
        <w:t xml:space="preserve">VI. Conclusion</w:t>
      </w:r>
    </w:p>
    <w:p>
      <w:pPr>
        <w:pStyle w:val="FirstParagraph"/>
      </w:pPr>
      <w:r>
        <w:t xml:space="preserve">In conclusion, the</w:t>
      </w:r>
      <w:r>
        <w:t xml:space="preserve"> </w:t>
      </w:r>
      <w:r>
        <w:rPr>
          <w:bCs/>
          <w:b/>
        </w:rPr>
        <w:t xml:space="preserve">Graphic Designer</w:t>
      </w:r>
      <w:r>
        <w:t xml:space="preserve">s role in</w:t>
      </w:r>
      <w:r>
        <w:t xml:space="preserve"> </w:t>
      </w:r>
      <w:r>
        <w:rPr>
          <w:bCs/>
          <w:b/>
        </w:rPr>
        <w:t xml:space="preserve">Indonesia Jakarta</w:t>
      </w:r>
      <w:r>
        <w:t xml:space="preserve">s has evolved from a purely aesthetic function to a strategic cultural and economic driver. By bridging the gap between Indonesia’s rich heritage and its digital future, these professionals are crafting a unique visual language that speaks to both local pride and global connectivity. As</w:t>
      </w:r>
      <w:r>
        <w:t xml:space="preserve"> </w:t>
      </w:r>
      <w:r>
        <w:rPr>
          <w:bCs/>
          <w:b/>
        </w:rPr>
        <w:t xml:space="preserve">Indonesia Jakarta</w:t>
      </w:r>
      <w:r>
        <w:t xml:space="preserve">s continues to develop as an innovation hub, the support, education, and recognition of graphic designers will be paramount in sustaining its creative momentum. The future of Indonesian design is not just about following trends; it is about leading with a distinct identity forged in the vibrant heart of Jakarta.</w:t>
      </w:r>
    </w:p>
    <w:bookmarkStart w:id="27" w:name="references"/>
    <w:p>
      <w:pPr>
        <w:pStyle w:val="Heading3"/>
      </w:pPr>
      <w:r>
        <w:t xml:space="preserve">References</w:t>
      </w:r>
    </w:p>
    <w:p>
      <w:pPr>
        <w:pStyle w:val="FirstParagraph"/>
      </w:pPr>
      <w:r>
        <w:rPr>
          <w:iCs/>
          <w:i/>
        </w:rPr>
        <w:t xml:space="preserve">(Note: References are simulated for the purpose of this template)</w:t>
      </w:r>
    </w:p>
    <w:p>
      <w:pPr>
        <w:numPr>
          <w:ilvl w:val="0"/>
          <w:numId w:val="1001"/>
        </w:numPr>
        <w:pStyle w:val="Compact"/>
      </w:pPr>
      <w:r>
        <w:t xml:space="preserve">Susanto, B. (2021).</w:t>
      </w:r>
      <w:r>
        <w:t xml:space="preserve"> </w:t>
      </w:r>
      <w:r>
        <w:rPr>
          <w:bCs/>
          <w:b/>
        </w:rPr>
        <w:t xml:space="preserve">Digital Arts and Culture in Southeast Asia</w:t>
      </w:r>
      <w:r>
        <w:t xml:space="preserve">. Jakarta University Press.</w:t>
      </w:r>
    </w:p>
    <w:p>
      <w:pPr>
        <w:numPr>
          <w:ilvl w:val="0"/>
          <w:numId w:val="1001"/>
        </w:numPr>
        <w:pStyle w:val="Compact"/>
      </w:pPr>
      <w:r>
        <w:t xml:space="preserve">Rahman, A. &amp; Lee, K. (2022). "The Gig Economy and Creative Professionals in Indonesia."</w:t>
      </w:r>
      <w:r>
        <w:t xml:space="preserve"> </w:t>
      </w:r>
      <w:r>
        <w:rPr>
          <w:iCs/>
          <w:i/>
        </w:rPr>
        <w:t xml:space="preserve">Journal of Asian Business Strategy</w:t>
      </w:r>
      <w:r>
        <w:t xml:space="preserve">, 15(3), 45-60.</w:t>
      </w:r>
    </w:p>
    <w:p>
      <w:pPr>
        <w:numPr>
          <w:ilvl w:val="0"/>
          <w:numId w:val="1001"/>
        </w:numPr>
        <w:pStyle w:val="Compact"/>
      </w:pPr>
      <w:r>
        <w:rPr>
          <w:bCs/>
          <w:b/>
        </w:rPr>
        <w:t xml:space="preserve">Bekraf (Ministry of Creative Economy)</w:t>
      </w:r>
      <w:r>
        <w:t xml:space="preserve">. (2023).</w:t>
      </w:r>
      <w:r>
        <w:t xml:space="preserve"> </w:t>
      </w:r>
      <w:r>
        <w:rPr>
          <w:bCs/>
          <w:b/>
        </w:rPr>
        <w:t xml:space="preserve">Economic Outlook Report: Indonesia Jakarta</w:t>
      </w:r>
      <w:r>
        <w:t xml:space="preserve">s Creative Sector.</w:t>
      </w:r>
    </w:p>
    <w:p>
      <w:pPr>
        <w:numPr>
          <w:ilvl w:val="0"/>
          <w:numId w:val="1001"/>
        </w:numPr>
        <w:pStyle w:val="Compact"/>
      </w:pPr>
      <w:r>
        <w:t xml:space="preserve">Hartono, D. (2019). "Integrating Batik Motifs into Modern UI/UX Design."</w:t>
      </w:r>
      <w:r>
        <w:t xml:space="preserve"> </w:t>
      </w:r>
      <w:r>
        <w:rPr>
          <w:iCs/>
          <w:i/>
        </w:rPr>
        <w:t xml:space="preserve">International Conference on Graphic Design and Technology</w:t>
      </w:r>
      <w:r>
        <w:t xml:space="preserve">, Surabaya.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Indonesia Jakarta</dc:title>
  <dc:creator/>
  <dc:language>en</dc:language>
  <cp:keywords/>
  <dcterms:created xsi:type="dcterms:W3CDTF">2026-07-29T21:29:48Z</dcterms:created>
  <dcterms:modified xsi:type="dcterms:W3CDTF">2026-07-29T21:29:48Z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