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Saudi</w:t>
      </w:r>
      <w:r>
        <w:t xml:space="preserve"> </w:t>
      </w:r>
      <w:r>
        <w:t xml:space="preserve">Arabia</w:t>
      </w:r>
      <w:r>
        <w:t xml:space="preserve"> </w:t>
      </w:r>
      <w:r>
        <w:t xml:space="preserve">Riyadh:</w:t>
      </w:r>
      <w:r>
        <w:t xml:space="preserve"> </w:t>
      </w:r>
      <w:r>
        <w:t xml:space="preserve">Navigating</w:t>
      </w:r>
      <w:r>
        <w:t xml:space="preserve"> </w:t>
      </w:r>
      <w:r>
        <w:t xml:space="preserve">Vision</w:t>
      </w:r>
      <w:r>
        <w:t xml:space="preserve"> </w:t>
      </w:r>
      <w:r>
        <w:t xml:space="preserve">2030</w:t>
      </w:r>
    </w:p>
    <w:bookmarkStart w:id="28" w:name="Xff2f8cfb64bdc2d0400f12bdae0597271a30e90"/>
    <w:p>
      <w:pPr>
        <w:pStyle w:val="Heading1"/>
      </w:pPr>
      <w:r>
        <w:t xml:space="preserve">The Strategic Evolution of the Human Resources Manager in Saudi Arabia Riyadh: Navigating Vision 2030</w:t>
      </w:r>
    </w:p>
    <w:p>
      <w:pPr>
        <w:pStyle w:val="FirstParagraph"/>
      </w:pPr>
      <w:r>
        <w:rPr>
          <w:bCs/>
          <w:b/>
        </w:rPr>
        <w:t xml:space="preserve">Author:</w:t>
      </w:r>
      <w:r>
        <w:br/>
      </w:r>
      <w:r>
        <w:t xml:space="preserve">[Name Withheld for Review]</w:t>
      </w:r>
      <w:r>
        <w:br/>
      </w:r>
      <w:r>
        <w:t xml:space="preserve">[Department of Organizational Behavior, Leading University]</w:t>
      </w:r>
      <w:r>
        <w:br/>
      </w:r>
      <w:r>
        <w:t xml:space="preserve">Riyadh, Kingdom of Saudi Arabia</w:t>
      </w:r>
    </w:p>
    <w:bookmarkStart w:id="20" w:name="abstract"/>
    <w:p>
      <w:pPr>
        <w:pStyle w:val="Heading3"/>
      </w:pPr>
      <w:r>
        <w:t xml:space="preserve">Abstract</w:t>
      </w:r>
    </w:p>
    <w:p>
      <w:pPr>
        <w:pStyle w:val="FirstParagraph"/>
      </w:pPr>
      <w:r>
        <w:t xml:space="preserve">This paper examines the transformative role of the Human Resources Manager within the dynamic economic landscape of Saudi Arabia Riyadh. As the Kingdom accelerates its implementation of Vision 2030, traditional administrative functions are being rapidly replaced by strategic partnership models. This study analyzes how HR Managers in Riyadh are adapting to Saudization (Nitaqat) policies, digital transformation initiatives, and cross-cultural management challenges. Through a review of current labor market trends and organizational behavior theories, this paper argues that the modern HR Manager in Riyadh must serve as a cultural bridgekeeper and strategic architect to ensure sustainable organizational growth.</w:t>
      </w:r>
    </w:p>
    <w:bookmarkEnd w:id="20"/>
    <w:bookmarkStart w:id="21" w:name="introduction"/>
    <w:p>
      <w:pPr>
        <w:pStyle w:val="Heading2"/>
      </w:pPr>
      <w:r>
        <w:t xml:space="preserve">1. Introduction</w:t>
      </w:r>
    </w:p>
    <w:p>
      <w:pPr>
        <w:pStyle w:val="FirstParagraph"/>
      </w:pPr>
      <w:r>
        <w:t xml:space="preserve">The Kingdom of Saudi Arabia stands at a critical juncture in its economic history. The capital city,</w:t>
      </w:r>
      <w:r>
        <w:t xml:space="preserve"> </w:t>
      </w:r>
      <w:r>
        <w:rPr>
          <w:bCs/>
          <w:b/>
        </w:rPr>
        <w:t xml:space="preserve">Saudi Arabia Riyadh</w:t>
      </w:r>
      <w:r>
        <w:t xml:space="preserve">, has emerged as the epicenter of this transformation, hosting a diverse array of multinational corporations, local conglomerates, and innovative startups. Within this bustling ecosystem, the role of the Human Resources Manager has undergone a radical paradigm shift. Historically viewed as an administrative support function focused on payroll compliance and recruitment logistics, the HR profession in Riyadh is now positioned at the heart of strategic decision-making.</w:t>
      </w:r>
    </w:p>
    <w:p>
      <w:pPr>
        <w:pStyle w:val="BodyText"/>
      </w:pPr>
      <w:r>
        <w:t xml:space="preserve">This shift is driven largely by Vision 2030, the Kingdom’s ambitious framework to reduce dependence on oil, diversify its economy, and develop public service sectors. As foreign direct investment floods into Riyadh and local enterprises expand globally, the demand for skilled human capital intensifies. Consequently, the</w:t>
      </w:r>
      <w:r>
        <w:t xml:space="preserve"> </w:t>
      </w:r>
      <w:r>
        <w:rPr>
          <w:bCs/>
          <w:b/>
        </w:rPr>
        <w:t xml:space="preserve">Human Resources Manager</w:t>
      </w:r>
      <w:r>
        <w:t xml:space="preserve"> </w:t>
      </w:r>
      <w:r>
        <w:t xml:space="preserve">is no longer just a guardian of policy but an architect of organizational culture capable of navigating complex regulatory environments.</w:t>
      </w:r>
    </w:p>
    <w:bookmarkEnd w:id="21"/>
    <w:bookmarkStart w:id="22" w:name="X26781fb2e20e30586b263e7e950e6ce2d7125e5"/>
    <w:p>
      <w:pPr>
        <w:pStyle w:val="Heading2"/>
      </w:pPr>
      <w:r>
        <w:t xml:space="preserve">2. The Regulatory Landscape: Saudization and Compliance</w:t>
      </w:r>
    </w:p>
    <w:p>
      <w:pPr>
        <w:pStyle w:val="FirstParagraph"/>
      </w:pPr>
      <w:r>
        <w:t xml:space="preserve">In</w:t>
      </w:r>
      <w:r>
        <w:t xml:space="preserve"> </w:t>
      </w:r>
      <w:r>
        <w:rPr>
          <w:bCs/>
          <w:b/>
        </w:rPr>
        <w:t xml:space="preserve">Saudi Arabia Riyadh</w:t>
      </w:r>
      <w:r>
        <w:t xml:space="preserve">, the most significant driver altering HR practices is the Nitaqat program, commonly known as Saudization. This policy mandates that private sector employers hire a specific percentage of Saudi nationals in various job categories. For the Human Resources Manager, this represents both a challenge and an opportunity.</w:t>
      </w:r>
    </w:p>
    <w:p>
      <w:pPr>
        <w:pStyle w:val="BodyText"/>
      </w:pPr>
      <w:r>
        <w:t xml:space="preserve">Firstly, compliance with Nitaqat requires rigorous data management and strategic workforce planning. HR Managers must analyze talent gaps carefully to ensure that their organizations meet government quotas without compromising operational efficiency. This involves moving away from reliance on low-cost expatriate labor toward investing in local talent development.</w:t>
      </w:r>
    </w:p>
    <w:p>
      <w:pPr>
        <w:pStyle w:val="BodyText"/>
      </w:pPr>
      <w:r>
        <w:t xml:space="preserve">Secondly, Saudization necessitates a shift in recruitment strategy. The modern HR Manager in Riyadh must be adept at employer branding to attract high-quality Saudi talent who may have competitive offers from the booming public sector. This requires a nuanced understanding of what motivates the local workforce, including job security, career progression paths, and alignment with national pride and values.</w:t>
      </w:r>
    </w:p>
    <w:bookmarkEnd w:id="22"/>
    <w:bookmarkStart w:id="23" w:name="cultural-navigation-and-cross-management"/>
    <w:p>
      <w:pPr>
        <w:pStyle w:val="Heading2"/>
      </w:pPr>
      <w:r>
        <w:t xml:space="preserve">3. Cultural Navigation and Cross-Management</w:t>
      </w:r>
    </w:p>
    <w:p>
      <w:pPr>
        <w:pStyle w:val="FirstParagraph"/>
      </w:pPr>
      <w:r>
        <w:t xml:space="preserve">Riyadh is a unique cultural melting pot where traditional Islamic values intersect with rapid modernization and global business practices. The Human Resources Manager in this context serves as a critical cultural intermediary. They must balance respect for local customs, such as prayer times, religious holidays, and hierarchical communication styles, with the need for agile, flat organizational structures often demanded by international partners.</w:t>
      </w:r>
    </w:p>
    <w:p>
      <w:pPr>
        <w:pStyle w:val="BodyText"/>
      </w:pPr>
      <w:r>
        <w:t xml:space="preserve">Multinational corporations operating in Riyadh face the added complexity of managing diverse expatriate teams alongside Saudi nationals. The HR Manager is tasked with fostering an inclusive workplace culture that minimizes cultural friction and maximizes collaborative potential. This involves implementing diversity training programs, establishing clear communication protocols, and creating mentorship initiatives that pair experienced international professionals with ambitious local talent.</w:t>
      </w:r>
    </w:p>
    <w:bookmarkEnd w:id="23"/>
    <w:bookmarkStart w:id="24" w:name="Xf66b02a973903c27a01f6ae597163eea9c7f1b8"/>
    <w:p>
      <w:pPr>
        <w:pStyle w:val="Heading2"/>
      </w:pPr>
      <w:r>
        <w:t xml:space="preserve">4. Digital Transformation and Future-Ready Skills</w:t>
      </w:r>
    </w:p>
    <w:p>
      <w:pPr>
        <w:pStyle w:val="FirstParagraph"/>
      </w:pPr>
      <w:r>
        <w:t xml:space="preserve">The fourth industrial revolution has reached Riyadh at an unprecedented pace. From AI-driven recruitment platforms to blockchain-based credential verification, technology is reshaping how work is done. The Human Resources Manager must be a champion of digital transformation within their organization.</w:t>
      </w:r>
    </w:p>
    <w:p>
      <w:pPr>
        <w:pStyle w:val="BodyText"/>
      </w:pPr>
      <w:r>
        <w:t xml:space="preserve">In Saudi Arabia Riyadh, there is a strong governmental push towards digitization in all sectors. HR Managers are expected to implement Human Resource Information Systems (HRIS) that provide real-time analytics on workforce productivity, engagement, and retention. These data-driven insights allow for predictive modeling of talent needs and proactive intervention in employee satisfaction issues.</w:t>
      </w:r>
    </w:p>
    <w:p>
      <w:pPr>
        <w:pStyle w:val="BodyText"/>
      </w:pPr>
      <w:r>
        <w:t xml:space="preserve">Furthermore, the focus is shifting from generic management skills to specialized competencies. The modern HR Manager must facilitate upskilling and reskilling programs that prepare employees for future roles in digital marketing, cybersecurity, data science, and renewable energy. This aligns with Vision 2030’s goal of creating a knowledge-based economy.</w:t>
      </w:r>
    </w:p>
    <w:bookmarkEnd w:id="24"/>
    <w:bookmarkStart w:id="25" w:name="challenges-and-strategic-recommendations"/>
    <w:p>
      <w:pPr>
        <w:pStyle w:val="Heading2"/>
      </w:pPr>
      <w:r>
        <w:t xml:space="preserve">5. Challenges and Strategic Recommendations</w:t>
      </w:r>
    </w:p>
    <w:p>
      <w:pPr>
        <w:pStyle w:val="FirstParagraph"/>
      </w:pPr>
      <w:r>
        <w:t xml:space="preserve">Despite the progress, Human Resources Managers in Riyadh face significant hurdles. These include high turnover rates in the private sector, a skills mismatch among graduates, and the intense competition for top talent from both local and global entities.</w:t>
      </w:r>
    </w:p>
    <w:p>
      <w:pPr>
        <w:pStyle w:val="BodyText"/>
      </w:pPr>
      <w:r>
        <w:t xml:space="preserve">To address these challenges, this paper recommends several strategic actions:</w:t>
      </w:r>
    </w:p>
    <w:p>
      <w:pPr>
        <w:numPr>
          <w:ilvl w:val="0"/>
          <w:numId w:val="1001"/>
        </w:numPr>
        <w:pStyle w:val="Compact"/>
      </w:pPr>
      <w:r>
        <w:rPr>
          <w:bCs/>
          <w:b/>
        </w:rPr>
        <w:t xml:space="preserve">Enhance Employer Value Proposition (EVP):</w:t>
      </w:r>
      <w:r>
        <w:t xml:space="preserve"> </w:t>
      </w:r>
      <w:r>
        <w:t xml:space="preserve">HR Managers must clearly articulate the unique benefits of working in their organization, focusing on professional growth and cultural inclusivity.</w:t>
      </w:r>
    </w:p>
    <w:p>
      <w:pPr>
        <w:numPr>
          <w:ilvl w:val="0"/>
          <w:numId w:val="1001"/>
        </w:numPr>
        <w:pStyle w:val="Compact"/>
      </w:pPr>
      <w:r>
        <w:t xml:space="preserve">Leverage Technology for Efficiency:&gt; Automate routine tasks to allow HR teams to focus on strategic initiatives like employee engagement and organizational development.</w:t>
      </w:r>
    </w:p>
    <w:p>
      <w:pPr>
        <w:numPr>
          <w:ilvl w:val="0"/>
          <w:numId w:val="1001"/>
        </w:numPr>
        <w:pStyle w:val="Compact"/>
      </w:pPr>
      <w:r>
        <w:rPr>
          <w:bCs/>
          <w:b/>
        </w:rPr>
        <w:t xml:space="preserve">Strengthen University-Industry Partnerships:</w:t>
      </w:r>
      <w:r>
        <w:t xml:space="preserve"> </w:t>
      </w:r>
      <w:r>
        <w:t xml:space="preserve">Collaborate with Saudi universities to tailor curriculum content, ensuring that graduates possess the skills required by the modern Riyadh job market.</w:t>
      </w:r>
    </w:p>
    <w:p>
      <w:pPr>
        <w:numPr>
          <w:ilvl w:val="0"/>
          <w:numId w:val="1001"/>
        </w:numPr>
        <w:pStyle w:val="Compact"/>
      </w:pPr>
      <w:r>
        <w:rPr>
          <w:bCs/>
          <w:b/>
        </w:rPr>
        <w:t xml:space="preserve">Prioritize Employee Well-being:</w:t>
      </w:r>
      <w:r>
        <w:t xml:space="preserve">In a high-pressure environment, mental health support and work-life balance initiatives are crucial for retaining top talent.</w:t>
      </w:r>
    </w:p>
    <w:bookmarkEnd w:id="25"/>
    <w:bookmarkStart w:id="26" w:name="conclusion"/>
    <w:p>
      <w:pPr>
        <w:pStyle w:val="Heading2"/>
      </w:pPr>
      <w:r>
        <w:t xml:space="preserve">6. Conclusion</w:t>
      </w:r>
    </w:p>
    <w:p>
      <w:pPr>
        <w:pStyle w:val="FirstParagraph"/>
      </w:pPr>
      <w:r>
        <w:t xml:space="preserve">The evolution of the Human Resources Manager in Saudi Arabia Riyadh is a testament to the broader economic and social transformations taking place within the Kingdom. No longer confined to administrative silos, HR professionals are now pivotal strategic partners who drive organizational success through effective talent management, cultural integration, and technological adoption.</w:t>
      </w:r>
    </w:p>
    <w:p>
      <w:pPr>
        <w:pStyle w:val="BodyText"/>
      </w:pPr>
      <w:r>
        <w:t xml:space="preserve">As Vision 2030 continues to unfold, the HR Manager will play an even more critical role in shaping a resilient and innovative workforce capable of competing on the global stage. By embracing change, leveraging data, and fostering an inclusive culture, Human Resources Managers in Riyadh can unlock the full potential of their organizations and contribute significantly to the Kingdom’s sustainable future.</w:t>
      </w:r>
    </w:p>
    <w:bookmarkEnd w:id="26"/>
    <w:bookmarkStart w:id="27" w:name="references"/>
    <w:p>
      <w:pPr>
        <w:pStyle w:val="Heading2"/>
      </w:pPr>
      <w:r>
        <w:t xml:space="preserve">References</w:t>
      </w:r>
    </w:p>
    <w:p>
      <w:pPr>
        <w:numPr>
          <w:ilvl w:val="0"/>
          <w:numId w:val="1002"/>
        </w:numPr>
        <w:pStyle w:val="Compact"/>
      </w:pPr>
      <w:r>
        <w:t xml:space="preserve">Kingdom of Saudi Arabia. (2016). Vision 2030 Framework for Action. Riyadh: General Presidency of State Security.</w:t>
      </w:r>
    </w:p>
    <w:p>
      <w:pPr>
        <w:numPr>
          <w:ilvl w:val="0"/>
          <w:numId w:val="1002"/>
        </w:numPr>
        <w:pStyle w:val="Compact"/>
      </w:pPr>
      <w:r>
        <w:t xml:space="preserve">Gulf Research Center. (2022). The Impact of Saudization on Private Sector Productivity in the GCC.</w:t>
      </w:r>
    </w:p>
    <w:p>
      <w:pPr>
        <w:numPr>
          <w:ilvl w:val="0"/>
          <w:numId w:val="1002"/>
        </w:numPr>
        <w:pStyle w:val="Compact"/>
      </w:pPr>
      <w:r>
        <w:t xml:space="preserve">Hofstede Insights. (2021). Country Comparison Report: Saudi Arabia vs. Global Averages.</w:t>
      </w:r>
    </w:p>
    <w:p>
      <w:pPr>
        <w:numPr>
          <w:ilvl w:val="0"/>
          <w:numId w:val="1002"/>
        </w:numPr>
        <w:pStyle w:val="Compact"/>
      </w:pPr>
      <w:r>
        <w:t xml:space="preserve">Saudi Ministry of Human Resources and Social Development. (2023). Annual Labor Market Report.</w:t>
      </w:r>
    </w:p>
    <w:p>
      <w:pPr>
        <w:numPr>
          <w:ilvl w:val="0"/>
          <w:numId w:val="1002"/>
        </w:numPr>
        <w:pStyle w:val="Compact"/>
      </w:pPr>
      <w:r>
        <w:t xml:space="preserve">Mercer Middle East &amp; North Africa. (2024). Talent Trends in the Kingdom: Navigating Change.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in Saudi Arabia Riyadh: Navigating Vision 2030</dc:title>
  <dc:creator/>
  <dc:language>en</dc:language>
  <cp:keywords/>
  <dcterms:created xsi:type="dcterms:W3CDTF">2026-07-30T03:59:27Z</dcterms:created>
  <dcterms:modified xsi:type="dcterms:W3CDTF">2026-07-30T03:59:27Z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