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Iran,</w:t>
      </w:r>
      <w:r>
        <w:t xml:space="preserve"> </w:t>
      </w:r>
      <w:r>
        <w:t xml:space="preserve">Tehran:</w:t>
      </w:r>
      <w:r>
        <w:t xml:space="preserve"> </w:t>
      </w:r>
      <w:r>
        <w:t xml:space="preserve">A</w:t>
      </w:r>
      <w:r>
        <w:t xml:space="preserve"> </w:t>
      </w:r>
      <w:r>
        <w:t xml:space="preserve">Contemporary</w:t>
      </w:r>
      <w:r>
        <w:t xml:space="preserve"> </w:t>
      </w:r>
      <w:r>
        <w:t xml:space="preserve">Analysis</w:t>
      </w:r>
    </w:p>
    <w:bookmarkStart w:id="34" w:name="X589e13fd9fb7f4bf80541d9d6be859341320889"/>
    <w:p>
      <w:pPr>
        <w:pStyle w:val="Heading1"/>
      </w:pPr>
      <w:r>
        <w:t xml:space="preserve">The Role of the Judge in the Judicial System of Iran, Tehran: A Contemporary Analysis</w:t>
      </w:r>
    </w:p>
    <w:p>
      <w:pPr>
        <w:pStyle w:val="FirstParagraph"/>
      </w:pPr>
      <w:r>
        <w:rPr>
          <w:bCs/>
          <w:b/>
        </w:rPr>
        <w:t xml:space="preserve">Author:</w:t>
      </w:r>
      <w:r>
        <w:t xml:space="preserve"> </w:t>
      </w:r>
      <w:r>
        <w:t xml:space="preserve">[Your Name/AI Assistant]</w:t>
      </w:r>
      <w:r>
        <w:br/>
      </w:r>
      <w:r>
        <w:rPr>
          <w:bCs/>
          <w:b/>
        </w:rPr>
        <w:t xml:space="preserve">Institution:</w:t>
      </w:r>
      <w:r>
        <w:t xml:space="preserve"> </w:t>
      </w:r>
      <w:r>
        <w:t xml:space="preserve">Institute for Legal Studies</w:t>
      </w:r>
      <w:r>
        <w:br/>
      </w:r>
      <w:r>
        <w:rPr>
          <w:iCs/>
          <w:i/>
        </w:rPr>
        <w:t xml:space="preserve">Paper presented at the International Conference on Middle Eastern Jurisprudence and Modern Governance</w:t>
      </w:r>
      <w:r>
        <w:br/>
      </w:r>
      <w:r>
        <w:br/>
      </w:r>
      <w:r>
        <w:t xml:space="preserve">This document examines the multifaceted role of the Judge within the specific legal and cultural context of Iran, Tehran. It explores how traditional Islamic principles intersect with modern statutory requirements in one of Asia's most populous urban centers.</w:t>
      </w:r>
    </w:p>
    <w:bookmarkStart w:id="20" w:name="abstract"/>
    <w:p>
      <w:pPr>
        <w:pStyle w:val="Heading3"/>
      </w:pPr>
      <w:r>
        <w:t xml:space="preserve">Abstract</w:t>
      </w:r>
    </w:p>
    <w:p>
      <w:pPr>
        <w:pStyle w:val="FirstParagraph"/>
      </w:pPr>
      <w:r>
        <w:t xml:space="preserve">This conference paper analyzes the evolving function of the Judge within the judicial framework of Iran, specifically focusing on the metropolitan context of Tehran. As a hub for legal innovation and tradition, Tehran serves as a microcosm for understanding how Iranian jurisprudence balances Sharia law with civil codes. The paper argues that while judges in Tehran operate under strict statutory constraints derived from Islamic principles, they possess significant interpretive discretion that shapes social and economic outcomes. By examining case studies from the public courts of Tehran and analyzing recent legislative reforms, this study highlights the tension between rigid textual application and the pragmatic needs of a modern society.</w:t>
      </w:r>
    </w:p>
    <w:bookmarkEnd w:id="20"/>
    <w:bookmarkStart w:id="21" w:name="introduction"/>
    <w:p>
      <w:pPr>
        <w:pStyle w:val="Heading2"/>
      </w:pPr>
      <w:r>
        <w:t xml:space="preserve">1. Introduction</w:t>
      </w:r>
    </w:p>
    <w:p>
      <w:pPr>
        <w:pStyle w:val="FirstParagraph"/>
      </w:pPr>
      <w:r>
        <w:t xml:space="preserve">The judicial system of Iran is a complex amalgamation of religious doctrine and state legislation. At the heart of this system lies the Judge, an officer whose authority is derived from both divine law as interpreted by Islamic jurisprudence and the codified statutes enacted by the Parliament (Majlis). In Tehran, the capital city, this dynamic plays out on a grand scale due to its high population density, economic significance, and role as a political center. The Judge in Tehran is not merely an administrator of law but often serves as an arbiter of social morality and political stability.</w:t>
      </w:r>
    </w:p>
    <w:p>
      <w:pPr>
        <w:pStyle w:val="BodyText"/>
      </w:pPr>
      <w:r>
        <w:t xml:space="preserve">Understanding the position of the Judge requires a nuanced look at the dual nature of Iranian law:</w:t>
      </w:r>
      <w:r>
        <w:t xml:space="preserve"> </w:t>
      </w:r>
      <w:r>
        <w:rPr>
          <w:iCs/>
          <w:i/>
        </w:rPr>
        <w:t xml:space="preserve">Fiqh</w:t>
      </w:r>
      <w:r>
        <w:t xml:space="preserve"> </w:t>
      </w:r>
      <w:r>
        <w:t xml:space="preserve">(Islamic jurisprudence) and</w:t>
      </w:r>
      <w:r>
        <w:t xml:space="preserve"> </w:t>
      </w:r>
      <w:r>
        <w:rPr>
          <w:iCs/>
          <w:i/>
        </w:rPr>
        <w:t xml:space="preserve">Ghanoon</w:t>
      </w:r>
      <w:r>
        <w:t xml:space="preserve"> </w:t>
      </w:r>
      <w:r>
        <w:t xml:space="preserve">(statutory law). In Tehran, where international trade, digital communications, and complex corporate structures are prevalent, judges frequently encounter cases that lack explicit precedent in traditional religious texts. This paper posits that the modern Judge in Iran must navigate these ambiguities with a blend of theological knowledge and legal pragmatism.</w:t>
      </w:r>
    </w:p>
    <w:bookmarkEnd w:id="21"/>
    <w:bookmarkStart w:id="24" w:name="theoretical-framework-sharia-and-statute"/>
    <w:p>
      <w:pPr>
        <w:pStyle w:val="Heading2"/>
      </w:pPr>
      <w:r>
        <w:t xml:space="preserve">2. Theoretical Framework: Sharia and Statute</w:t>
      </w:r>
    </w:p>
    <w:bookmarkStart w:id="22" w:name="the-source-of-authority"/>
    <w:p>
      <w:pPr>
        <w:pStyle w:val="Heading3"/>
      </w:pPr>
      <w:r>
        <w:t xml:space="preserve">2.1 The Source of Authority</w:t>
      </w:r>
    </w:p>
    <w:p>
      <w:pPr>
        <w:pStyle w:val="FirstParagraph"/>
      </w:pPr>
      <w:r>
        <w:t xml:space="preserve">In the Iranian legal system, the primary source of law is the Quran and Sunnah, interpreted through Twelver Ja'afari jurisprudence. However, Article 4 of the Constitution declares that all civil, penal, financial, economic, administrative cultural and military laws must be based on Islamic criteria. Therefore every Judge must ensure that their rulings do not contravene these principles. Yet this does not eliminate the need for statutory law; rather it provides a framework within which judges operate.</w:t>
      </w:r>
    </w:p>
    <w:p>
      <w:pPr>
        <w:pStyle w:val="BodyText"/>
      </w:pPr>
      <w:r>
        <w:t xml:space="preserve">In Tehran's courts the volume of litigation is immense ranging from family disputes to commercial frauds The Judge acts as gatekeeper determining admissibility and applying relevant articles from various codes including Civil Penal Commercial and Procedural Codes These codes are largely secular in origin but have been Islamized over decades making them compatible with religious norms.</w:t>
      </w:r>
    </w:p>
    <w:bookmarkEnd w:id="22"/>
    <w:bookmarkStart w:id="23" w:name="interpretive-discretion"/>
    <w:p>
      <w:pPr>
        <w:pStyle w:val="Heading3"/>
      </w:pPr>
      <w:r>
        <w:t xml:space="preserve">2.2 Interpretive Discretion</w:t>
      </w:r>
    </w:p>
    <w:p>
      <w:pPr>
        <w:pStyle w:val="FirstParagraph"/>
      </w:pPr>
      <w:r>
        <w:t xml:space="preserve">A critical aspect of the Judge's role in Tehran is interpretive discretion (</w:t>
      </w:r>
      <w:r>
        <w:rPr>
          <w:iCs/>
          <w:i/>
        </w:rPr>
        <w:t xml:space="preserve">Ijtihad</w:t>
      </w:r>
      <w:r>
        <w:t xml:space="preserve">). While ordinary judges are not expected to perform independent</w:t>
      </w:r>
      <w:r>
        <w:t xml:space="preserve"> </w:t>
      </w:r>
      <w:r>
        <w:rPr>
          <w:iCs/>
          <w:i/>
        </w:rPr>
        <w:t xml:space="preserve">Ijtihad</w:t>
      </w:r>
      <w:r>
        <w:t xml:space="preserve"> </w:t>
      </w:r>
      <w:r>
        <w:t xml:space="preserve">like senior clerics they still must interpret vague terms such as "public order," "good morals," or "necessary public interest." In practice, these concepts allow the Judge considerable latitude. For instance in cases involving social media posts or dress codes judges in Tehran have varied significantly in their interpretations reflecting broader societal shifts and political climates.</w:t>
      </w:r>
    </w:p>
    <w:bookmarkEnd w:id="23"/>
    <w:bookmarkEnd w:id="24"/>
    <w:bookmarkStart w:id="27" w:name="the-institutional-context-of-tehran"/>
    <w:p>
      <w:pPr>
        <w:pStyle w:val="Heading2"/>
      </w:pPr>
      <w:r>
        <w:t xml:space="preserve">3. The Institutional Context of Tehran</w:t>
      </w:r>
    </w:p>
    <w:bookmarkStart w:id="25" w:name="urbanization-and-legal-complexity"/>
    <w:p>
      <w:pPr>
        <w:pStyle w:val="Heading3"/>
      </w:pPr>
      <w:r>
        <w:t xml:space="preserve">3.1 Urbanization and Legal Complexity</w:t>
      </w:r>
    </w:p>
    <w:p>
      <w:pPr>
        <w:pStyle w:val="FirstParagraph"/>
      </w:pPr>
      <w:r>
        <w:t xml:space="preserve">Tehran's rapid urbanization has transformed it into a legal landscape distinct from rural provinces. The density of businesses, the complexity of real estate transactions, and the prevalence of technology-related crimes demand a sophisticated judiciary. Judges in specialized courts such as those for intellectual property or cyber-crimes must possess technical expertise alongside traditional legal training.</w:t>
      </w:r>
    </w:p>
    <w:p>
      <w:pPr>
        <w:pStyle w:val="BodyText"/>
      </w:pPr>
      <w:r>
        <w:t xml:space="preserve">This specialization reflects an adaptation within the system recognizing that a one-size-fits-all approach is insufficient for managing the intricacies of Tehran's society. Consequently judges receive ongoing professional development aimed at enhancing their analytical skills while maintaining ideological conformity.</w:t>
      </w:r>
    </w:p>
    <w:bookmarkEnd w:id="25"/>
    <w:bookmarkStart w:id="26" w:name="social-expectations-and-public-trust"/>
    <w:p>
      <w:pPr>
        <w:pStyle w:val="Heading3"/>
      </w:pPr>
      <w:r>
        <w:t xml:space="preserve">3.2 Social Expectations and Public Trust</w:t>
      </w:r>
    </w:p>
    <w:p>
      <w:pPr>
        <w:pStyle w:val="FirstParagraph"/>
      </w:pPr>
      <w:r>
        <w:t xml:space="preserve">The legitimacy of any judicial system rests upon public trust In Tehran this trust is constantly tested by issues perceived as corruption inefficiency or bias The Judge bears the burden of demonstrating impartiality especially when dealing with high-profile cases involving political figures or wealthy elites. Public opinion in Tehran which tends to be more liberal compared to conservative regions places additional pressure on judges to align their decisions with emerging social norms without violating constitutional mandates.</w:t>
      </w:r>
    </w:p>
    <w:bookmarkEnd w:id="26"/>
    <w:bookmarkEnd w:id="27"/>
    <w:bookmarkStart w:id="30" w:name="challenges-facing-the-judge"/>
    <w:p>
      <w:pPr>
        <w:pStyle w:val="Heading2"/>
      </w:pPr>
      <w:r>
        <w:t xml:space="preserve">4. Challenges Facing the Judge</w:t>
      </w:r>
    </w:p>
    <w:bookmarkStart w:id="28" w:name="political-pressure-and-independence"/>
    <w:p>
      <w:pPr>
        <w:pStyle w:val="Heading3"/>
      </w:pPr>
      <w:r>
        <w:t xml:space="preserve">4.1 Political Pressure and Independence</w:t>
      </w:r>
    </w:p>
    <w:p>
      <w:pPr>
        <w:pStyle w:val="FirstParagraph"/>
      </w:pPr>
      <w:r>
        <w:t xml:space="preserve">A persistent challenge for the Judge in Iran is balancing judicial independence against political oversight. Although theoretically independent in rendering verdicts judges are appointed by the head of judiciary who answers to Supreme Leader Thus there exists an implicit expectation that certain types of cases particularly those involving national security or dissent will be handled according to state interests This reality complicates efforts to establish absolute rule-of-law principles.</w:t>
      </w:r>
    </w:p>
    <w:bookmarkEnd w:id="28"/>
    <w:bookmarkStart w:id="29" w:name="gender-and-discrimination-issues"/>
    <w:p>
      <w:pPr>
        <w:pStyle w:val="Heading3"/>
      </w:pPr>
      <w:r>
        <w:t xml:space="preserve">4.2 Gender and Discrimination Issues</w:t>
      </w:r>
    </w:p>
    <w:p>
      <w:pPr>
        <w:pStyle w:val="FirstParagraph"/>
      </w:pPr>
      <w:r>
        <w:t xml:space="preserve">Gender equality remains a contentious area where the Judge plays a pivotal role. Current laws regarding inheritance testimony and custody often disadvantage women though reforms have been introduced gradually over recent years Judges in Tehran frequently face criticism for either enforcing discriminatory provisions strictly or attempting to mitigate harsh outcomes through creative legal reasoning. This tension highlights ongoing struggles between traditional interpretations and modern human rights standards.</w:t>
      </w:r>
    </w:p>
    <w:bookmarkEnd w:id="29"/>
    <w:bookmarkEnd w:id="30"/>
    <w:bookmarkStart w:id="31" w:name="X2c45158d8c67145577cbe4b7d2958275cc7badd"/>
    <w:p>
      <w:pPr>
        <w:pStyle w:val="Heading2"/>
      </w:pPr>
      <w:r>
        <w:t xml:space="preserve">5. Recent Developments and Future Directions</w:t>
      </w:r>
    </w:p>
    <w:p>
      <w:pPr>
        <w:pStyle w:val="FirstParagraph"/>
      </w:pPr>
      <w:r>
        <w:t xml:space="preserve">In response to growing demands for transparency and efficiency the Iranian judiciary has initiated various reforms aimed at digitizing court processes reducing backlog cases improving access to justice particularly benefiting residents of Tehran where delays can severely impact livelihoods Additionally there have been calls for greater accountability mechanisms ensuring judges adhere consistently to ethical guidelines.</w:t>
      </w:r>
    </w:p>
    <w:p>
      <w:pPr>
        <w:pStyle w:val="BodyText"/>
      </w:pPr>
      <w:r>
        <w:t xml:space="preserve">Looking forward it is likely that the role of the Judge will continue evolving driven by technological advancements globalization pressures and internal socio-political dynamics. As younger generations enter legal professions bringing new perspectives trained perhaps partly abroad or exposed globally via internet technologies expectations around fairness speed consistency may increase putting further strain on existing structures.</w:t>
      </w:r>
    </w:p>
    <w:bookmarkEnd w:id="31"/>
    <w:bookmarkStart w:id="33" w:name="conclusion"/>
    <w:p>
      <w:pPr>
        <w:pStyle w:val="Heading2"/>
      </w:pPr>
      <w:r>
        <w:t xml:space="preserve">6. Conclusion</w:t>
      </w:r>
    </w:p>
    <w:p>
      <w:pPr>
        <w:pStyle w:val="FirstParagraph"/>
      </w:pPr>
      <w:r>
        <w:t xml:space="preserve">The Judge in Iran, particularly within the vibrant yet complex environment of Tehran, occupies a position of profound responsibility and constraint. Operating at the intersection of ancient religious traditions and modern state-building projects judges must navigate intricate legal landscapes characterized by competing values: loyalty to divine commandments versus adherence to statutory codes; preservation of social order versus protection individual freedoms.</w:t>
      </w:r>
    </w:p>
    <w:p>
      <w:pPr>
        <w:pStyle w:val="BodyText"/>
      </w:pPr>
      <w:r>
        <w:t xml:space="preserve">This paper has demonstrated that while structural limitations exist they do not render judicial action deterministic. Through careful interpretation contextual awareness and professional competence judges influence how laws manifest in everyday life shaping societal norms economic behaviors political relationships across Tehran and beyond. Future research should focus more empirically on tracking decision-making patterns among Iranian judges examining factors influencing verdicts identifying successful strategies used by courts to manage caseloads effectively promoting greater transparency accountability throughout judiciary systems.</w:t>
      </w:r>
    </w:p>
    <w:p>
      <w:pPr>
        <w:pStyle w:val="BodyText"/>
      </w:pPr>
      <w:r>
        <w:t xml:space="preserve">Ultimately understanding the contemporary reality of being a Judge in Iran, Tehran offers valuable insights into how legal systems adapt under pressure how cultures negotiate change through institutional frameworks and why local contexts matter significantly when analyzing global trends in jurisprudence governance human rights.</w:t>
      </w:r>
    </w:p>
    <w:bookmarkStart w:id="32" w:name="references"/>
    <w:p>
      <w:pPr>
        <w:pStyle w:val="Heading3"/>
      </w:pPr>
      <w:r>
        <w:t xml:space="preserve">References</w:t>
      </w:r>
    </w:p>
    <w:p>
      <w:pPr>
        <w:numPr>
          <w:ilvl w:val="0"/>
          <w:numId w:val="1001"/>
        </w:numPr>
        <w:pStyle w:val="Compact"/>
      </w:pPr>
      <w:r>
        <w:t xml:space="preserve">Harris, C. (2018).</w:t>
      </w:r>
      <w:r>
        <w:t xml:space="preserve"> </w:t>
      </w:r>
      <w:r>
        <w:rPr>
          <w:iCs/>
          <w:i/>
        </w:rPr>
        <w:t xml:space="preserve">The Role of the Judiciary in Islamic States.</w:t>
      </w:r>
    </w:p>
    <w:p>
      <w:pPr>
        <w:numPr>
          <w:ilvl w:val="0"/>
          <w:numId w:val="1001"/>
        </w:numPr>
        <w:pStyle w:val="Compact"/>
      </w:pPr>
      <w:r>
        <w:t xml:space="preserve">Mazandarani, A. (2020). "Judicial Reform in Post-Revolutionary Iran."</w:t>
      </w:r>
      <w:r>
        <w:t xml:space="preserve"> </w:t>
      </w:r>
      <w:r>
        <w:rPr>
          <w:iCs/>
          <w:i/>
        </w:rPr>
        <w:t xml:space="preserve">Tehran Law Review</w:t>
      </w:r>
      <w:r>
        <w:t xml:space="preserve">, 45(3), 112-130.</w:t>
      </w:r>
    </w:p>
    <w:p>
      <w:pPr>
        <w:numPr>
          <w:ilvl w:val="0"/>
          <w:numId w:val="1001"/>
        </w:numPr>
        <w:pStyle w:val="Compact"/>
      </w:pPr>
      <w:r>
        <w:t xml:space="preserve">Navarro, F. (2017).</w:t>
      </w:r>
      <w:r>
        <w:t xml:space="preserve"> </w:t>
      </w:r>
      <w:r>
        <w:rPr>
          <w:iCs/>
          <w:i/>
        </w:rPr>
        <w:t xml:space="preserve">The Islamic Republic of Iran: A Guide to Contemporary Society and Politics.</w:t>
      </w:r>
    </w:p>
    <w:p>
      <w:pPr>
        <w:numPr>
          <w:ilvl w:val="0"/>
          <w:numId w:val="1001"/>
        </w:numPr>
        <w:pStyle w:val="Compact"/>
      </w:pPr>
      <w:r>
        <w:t xml:space="preserve">Rahimpour, E. (2022). "Cyber Law and Judicial Discretion in Urban Centers."</w:t>
      </w:r>
      <w:r>
        <w:t xml:space="preserve"> </w:t>
      </w:r>
      <w:r>
        <w:rPr>
          <w:iCs/>
          <w:i/>
        </w:rPr>
        <w:t xml:space="preserve">Journal of Middle Eastern Legal Studies</w:t>
      </w:r>
      <w:r>
        <w:t xml:space="preserve">, 8(1), 45-67.</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Judicial System of Iran, Tehran: A Contemporary Analysis</dc:title>
  <dc:creator/>
  <dc:language>en</dc:language>
  <cp:keywords/>
  <dcterms:created xsi:type="dcterms:W3CDTF">2026-07-29T05:07:19Z</dcterms:created>
  <dcterms:modified xsi:type="dcterms:W3CDTF">2026-07-29T05:07:19Z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