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the</w:t>
      </w:r>
      <w:r>
        <w:t xml:space="preserve"> </w:t>
      </w:r>
      <w:r>
        <w:t xml:space="preserve">Melbourne</w:t>
      </w:r>
      <w:r>
        <w:t xml:space="preserve"> </w:t>
      </w:r>
      <w:r>
        <w:t xml:space="preserve">Research</w:t>
      </w:r>
      <w:r>
        <w:t xml:space="preserve"> </w:t>
      </w:r>
      <w:r>
        <w:t xml:space="preserve">Ecosystem</w:t>
      </w:r>
    </w:p>
    <w:p>
      <w:pPr>
        <w:pStyle w:val="FirstParagraph"/>
      </w:pPr>
      <w:r>
        <w:t xml:space="preserve">```html</w:t>
      </w:r>
    </w:p>
    <w:bookmarkStart w:id="21" w:name="X3505d7521282f5842b60fbea5120a4f9ee8e13c"/>
    <w:p>
      <w:pPr>
        <w:pStyle w:val="Heading1"/>
      </w:pPr>
      <w:r>
        <w:t xml:space="preserve">Beyond the Bench: The Strategic Imperative of the Laboratory Technician in Australia’s Melbourne Innovation Hub</w:t>
      </w:r>
    </w:p>
    <w:p>
      <w:pPr>
        <w:pStyle w:val="FirstParagraph"/>
      </w:pPr>
      <w:r>
        <w:t xml:space="preserve">Presented at the Annual Australian Science and Innovation Conference, Melbourne</w:t>
      </w:r>
      <w:r>
        <w:br/>
      </w:r>
      <w:r>
        <w:t xml:space="preserve">Melbourne, Victoria, Australia</w:t>
      </w:r>
    </w:p>
    <w:bookmarkStart w:id="20" w:name="abstract"/>
    <w:p>
      <w:pPr>
        <w:pStyle w:val="Heading3"/>
      </w:pPr>
      <w:r>
        <w:t xml:space="preserve">Abstract</w:t>
      </w:r>
    </w:p>
    <w:p>
      <w:pPr>
        <w:pStyle w:val="FirstParagraph"/>
      </w:pPr>
      <w:r>
        <w:t xml:space="preserve">This paper examines the pivotal role of the Laboratory Technician within the vibrant scientific community of</w:t>
      </w:r>
      <w:r>
        <w:t xml:space="preserve"> </w:t>
      </w:r>
      <w:r>
        <w:rPr>
          <w:bCs/>
          <w:b/>
        </w:rPr>
        <w:t xml:space="preserve">Australia Melbourne</w:t>
      </w:r>
      <w:r>
        <w:t xml:space="preserve">. As Melbourne solidifies its position as a global hub for biomedical research and technological innovation, the contribution of skilled laboratory technicians is often undervalued in policy discussions. This document argues that these professionals are not merely support staff but essential catalysts for experimental integrity and data reliability. By analyzing the unique regulatory environment of</w:t>
      </w:r>
      <w:r>
        <w:t xml:space="preserve"> </w:t>
      </w:r>
      <w:r>
        <w:rPr>
          <w:bCs/>
          <w:b/>
        </w:rPr>
        <w:t xml:space="preserve">Australia Melbourne</w:t>
      </w:r>
      <w:r>
        <w:t xml:space="preserve"> </w:t>
      </w:r>
      <w:r>
        <w:t xml:space="preserve">and integrating case studies from local institutions such as the Royal Melbourne Hospital and Deakin University, this paper highlights the specific competencies required in modern laboratory settings.</w:t>
      </w:r>
    </w:p>
    <w:bookmarkEnd w:id="20"/>
    <w:bookmarkEnd w:id="21"/>
    <w:bookmarkStart w:id="22" w:name="X25f033200a2ccf1db4270596fac7b8a68ccc4e0"/>
    <w:p>
      <w:pPr>
        <w:pStyle w:val="Heading1"/>
      </w:pPr>
      <w:r>
        <w:t xml:space="preserve">Introduction: The Heartbeat of Melbourne’s Scientific Community</w:t>
      </w:r>
    </w:p>
    <w:p>
      <w:pPr>
        <w:pStyle w:val="FirstParagraph"/>
      </w:pPr>
      <w:r>
        <w:t xml:space="preserve">In recent years,</w:t>
      </w:r>
      <w:r>
        <w:t xml:space="preserve"> </w:t>
      </w:r>
      <w:r>
        <w:rPr>
          <w:bCs/>
          <w:b/>
        </w:rPr>
        <w:t xml:space="preserve">Australia Melbourne</w:t>
      </w:r>
      <w:r>
        <w:t xml:space="preserve"> </w:t>
      </w:r>
      <w:r>
        <w:t xml:space="preserve">has emerged as a premier destination for scientific inquiry and medical research. From the biotechnology precincts in Parkville to the advanced manufacturing labs in Clayton, the city is a nexus of discovery. Central to this ecosystem is the</w:t>
      </w:r>
      <w:r>
        <w:t xml:space="preserve"> </w:t>
      </w:r>
      <w:r>
        <w:rPr>
          <w:bCs/>
          <w:b/>
        </w:rPr>
        <w:t xml:space="preserve">Laboratory Technician</w:t>
      </w:r>
      <w:r>
        <w:t xml:space="preserve">. While headlines often focus on principal investigators and lead researchers, it is the daily diligence of laboratory technicians that ensures experiments proceed according to protocol.</w:t>
      </w:r>
    </w:p>
    <w:p>
      <w:pPr>
        <w:pStyle w:val="BodyText"/>
      </w:pPr>
      <w:r>
        <w:t xml:space="preserve">This paper posits that in the specific context of</w:t>
      </w:r>
      <w:r>
        <w:t xml:space="preserve"> </w:t>
      </w:r>
      <w:r>
        <w:rPr>
          <w:bCs/>
          <w:b/>
        </w:rPr>
        <w:t xml:space="preserve">Australia Melbourne</w:t>
      </w:r>
      <w:r>
        <w:t xml:space="preserve">, where high standards of safety and regulatory compliance are paramount, the role of the</w:t>
      </w:r>
      <w:r>
        <w:t xml:space="preserve"> </w:t>
      </w:r>
      <w:r>
        <w:rPr>
          <w:bCs/>
          <w:b/>
        </w:rPr>
        <w:t xml:space="preserve">Laboratory Technician</w:t>
      </w:r>
      <w:r>
        <w:t xml:space="preserve"> </w:t>
      </w:r>
      <w:r>
        <w:t xml:space="preserve">has evolved from routine sample processing to complex data management and quality assurance. Understanding this evolution is crucial for academic institutions, government bodies, and private industries operating in Victoria.</w:t>
      </w:r>
    </w:p>
    <w:bookmarkEnd w:id="22"/>
    <w:bookmarkStart w:id="23" w:name="X94b036394f2663e1af379f5cc160f8d156d8128"/>
    <w:p>
      <w:pPr>
        <w:pStyle w:val="Heading1"/>
      </w:pPr>
      <w:r>
        <w:t xml:space="preserve">The Evolving Scope of the Laboratory Technician</w:t>
      </w:r>
    </w:p>
    <w:p>
      <w:pPr>
        <w:pStyle w:val="FirstParagraph"/>
      </w:pPr>
      <w:r>
        <w:t xml:space="preserve">Gone are the days when a</w:t>
      </w:r>
      <w:r>
        <w:t xml:space="preserve"> </w:t>
      </w:r>
      <w:r>
        <w:rPr>
          <w:bCs/>
          <w:b/>
        </w:rPr>
        <w:t xml:space="preserve">Laboratory Technician</w:t>
      </w:r>
      <w:r>
        <w:t xml:space="preserve"> </w:t>
      </w:r>
      <w:r>
        <w:t xml:space="preserve">was viewed solely as an assistant to pipette reagents. In contemporary settings across</w:t>
      </w:r>
      <w:r>
        <w:t xml:space="preserve"> </w:t>
      </w:r>
      <w:r>
        <w:rPr>
          <w:bCs/>
          <w:b/>
        </w:rPr>
        <w:t xml:space="preserve">Australia Melbourne</w:t>
      </w:r>
      <w:r>
        <w:t xml:space="preserve">, particularly within pharmaceutical development and clinical diagnostics, technicians are responsible for operating sophisticated instrumentation such as mass spectrometers, centrifuges, and PCR thermal cyclers.</w:t>
      </w:r>
    </w:p>
    <w:p>
      <w:pPr>
        <w:pStyle w:val="BodyText"/>
      </w:pPr>
      <w:r>
        <w:t xml:space="preserve">In Melbourne’s bustling health sector, the precision of a</w:t>
      </w:r>
    </w:p>
    <w:p>
      <w:pPr>
        <w:pStyle w:val="BodyText"/>
      </w:pPr>
      <w:r>
        <w:t xml:space="preserve">Laboratory Technician directly impacts patient outcomes. A minor error in sample labeling or calibration can lead to misdiagnosis or compromised research data. Therefore, the technical proficiency required today encompasses not just manual dexterity, but also a deep understanding of chemical kinetics and biological pathways.</w:t>
      </w:r>
    </w:p>
    <w:bookmarkEnd w:id="23"/>
    <w:bookmarkStart w:id="24" w:name="X29a2f0a87216c6dd7f8237be2be51c4dd280076"/>
    <w:p>
      <w:pPr>
        <w:pStyle w:val="Heading1"/>
      </w:pPr>
      <w:r>
        <w:t xml:space="preserve">Regulatory Frameworks and Safety Standards</w:t>
      </w:r>
    </w:p>
    <w:p>
      <w:pPr>
        <w:pStyle w:val="FirstParagraph"/>
      </w:pPr>
      <w:r>
        <w:t xml:space="preserve">The operational environment in</w:t>
      </w:r>
      <w:r>
        <w:t xml:space="preserve"> </w:t>
      </w:r>
      <w:r>
        <w:rPr>
          <w:bCs/>
          <w:b/>
        </w:rPr>
        <w:t xml:space="preserve">Australia Melbourne</w:t>
      </w:r>
      <w:r>
        <w:t xml:space="preserve"> </w:t>
      </w:r>
      <w:r>
        <w:t xml:space="preserve">is governed by strict national guidelines, including those set by the National Health and Medical Research Council (NHMRC) and Safe Work Australia. For any</w:t>
      </w:r>
      <w:r>
        <w:t xml:space="preserve"> </w:t>
      </w:r>
      <w:r>
        <w:rPr>
          <w:bCs/>
          <w:b/>
        </w:rPr>
        <w:t xml:space="preserve">Laboratory Technician</w:t>
      </w:r>
      <w:r>
        <w:t xml:space="preserve">, navigating these regulations is a daily task.</w:t>
      </w:r>
    </w:p>
    <w:p>
      <w:pPr>
        <w:pStyle w:val="BodyText"/>
      </w:pPr>
      <w:r>
        <w:t xml:space="preserve">Safety compliance in Melbourne laboratories is rigorous. Technicians must adhere to Hazardous Chemicals Regulations and manage biohazardous waste with extreme care. This paper highlights that the role of the</w:t>
      </w:r>
      <w:r>
        <w:t xml:space="preserve"> </w:t>
      </w:r>
      <w:r>
        <w:rPr>
          <w:bCs/>
          <w:b/>
        </w:rPr>
        <w:t xml:space="preserve">Laboratory Technician</w:t>
      </w:r>
      <w:r>
        <w:t xml:space="preserve"> </w:t>
      </w:r>
      <w:r>
        <w:t xml:space="preserve">includes being a frontline safety officer, ensuring that all protocols are followed to prevent laboratory accidents. In</w:t>
      </w:r>
      <w:r>
        <w:t xml:space="preserve"> </w:t>
      </w:r>
      <w:r>
        <w:rPr>
          <w:bCs/>
          <w:b/>
        </w:rPr>
        <w:t xml:space="preserve">Australia Melbourne</w:t>
      </w:r>
      <w:r>
        <w:t xml:space="preserve">, where community trust in scientific institutions is high, maintaining these rigorous standards is not optional—it is fundamental to public confidence.</w:t>
      </w:r>
    </w:p>
    <w:bookmarkEnd w:id="24"/>
    <w:bookmarkStart w:id="25" w:name="Xa7b0772345a258be70797dc570f0239ff3246c6"/>
    <w:p>
      <w:pPr>
        <w:pStyle w:val="Heading1"/>
      </w:pPr>
      <w:r>
        <w:t xml:space="preserve">Economic Impact and Workforce Development</w:t>
      </w:r>
    </w:p>
    <w:p>
      <w:pPr>
        <w:pStyle w:val="FirstParagraph"/>
      </w:pPr>
      <w:r>
        <w:t xml:space="preserve">The contribution of the</w:t>
      </w:r>
      <w:r>
        <w:t xml:space="preserve"> </w:t>
      </w:r>
      <w:r>
        <w:rPr>
          <w:bCs/>
          <w:b/>
        </w:rPr>
        <w:t xml:space="preserve">Laboratory Technician</w:t>
      </w:r>
      <w:r>
        <w:t xml:space="preserve"> </w:t>
      </w:r>
      <w:r>
        <w:t xml:space="preserve">workforce to the Victorian economy cannot be overstated. Melbourne’s life sciences sector contributes billions annually to GDP, driven largely by research output and innovation. Efficient laboratory operations, managed by skilled technicians, reduce overheads and accelerate time-to-market for new drugs and technologies.</w:t>
      </w:r>
    </w:p>
    <w:p>
      <w:pPr>
        <w:pStyle w:val="BodyText"/>
      </w:pPr>
      <w:r>
        <w:t xml:space="preserve">However, there is a growing skills gap in</w:t>
      </w:r>
      <w:r>
        <w:t xml:space="preserve"> </w:t>
      </w:r>
      <w:r>
        <w:rPr>
          <w:bCs/>
          <w:b/>
        </w:rPr>
        <w:t xml:space="preserve">Australia Melbourne</w:t>
      </w:r>
      <w:r>
        <w:t xml:space="preserve">. Many tertiary institutions are struggling to retain experienced</w:t>
      </w:r>
      <w:r>
        <w:t xml:space="preserve"> </w:t>
      </w:r>
      <w:r>
        <w:rPr>
          <w:bCs/>
          <w:b/>
        </w:rPr>
        <w:t xml:space="preserve">Laboratory Technicians</w:t>
      </w:r>
      <w:r>
        <w:t xml:space="preserve"> </w:t>
      </w:r>
      <w:r>
        <w:t xml:space="preserve">due to competitive pressures from international markets. To sustain Melbourne’s status as a global research leader, investment in continuous professional development for technicians is essential. This includes training in emerging technologies such as AI-driven data analysis and automated liquid handling systems.</w:t>
      </w:r>
    </w:p>
    <w:bookmarkEnd w:id="25"/>
    <w:bookmarkStart w:id="26" w:name="case-studies-excellence-in-practice"/>
    <w:p>
      <w:pPr>
        <w:pStyle w:val="Heading1"/>
      </w:pPr>
      <w:r>
        <w:t xml:space="preserve">Case Studies: Excellence in Practice</w:t>
      </w:r>
    </w:p>
    <w:p>
      <w:pPr>
        <w:pStyle w:val="FirstParagraph"/>
      </w:pPr>
      <w:r>
        <w:t xml:space="preserve">To illustrate the practical application of these concepts, we examine two case studies from prominent institutions within</w:t>
      </w:r>
      <w:r>
        <w:t xml:space="preserve"> </w:t>
      </w:r>
      <w:r>
        <w:rPr>
          <w:bCs/>
          <w:b/>
        </w:rPr>
        <w:t xml:space="preserve">Australia Melbourne</w:t>
      </w:r>
      <w:r>
        <w:t xml:space="preserve">:</w:t>
      </w:r>
    </w:p>
    <w:p>
      <w:pPr>
        <w:numPr>
          <w:ilvl w:val="0"/>
          <w:numId w:val="1001"/>
        </w:numPr>
        <w:pStyle w:val="Compact"/>
      </w:pPr>
      <w:r>
        <w:rPr>
          <w:bCs/>
          <w:b/>
        </w:rPr>
        <w:t xml:space="preserve">The Royal Melbourne Hospital Pathology Department:</w:t>
      </w:r>
      <w:r>
        <w:br/>
      </w:r>
      <w:r>
        <w:t xml:space="preserve">Here,</w:t>
      </w:r>
      <w:r>
        <w:t xml:space="preserve"> </w:t>
      </w:r>
      <w:r>
        <w:rPr>
          <w:bCs/>
          <w:b/>
        </w:rPr>
        <w:t xml:space="preserve">Laboratory Technicians</w:t>
      </w:r>
      <w:r>
        <w:t xml:space="preserve"> </w:t>
      </w:r>
      <w:r>
        <w:t xml:space="preserve">play a critical role in high-volume diagnostic testing. Their ability to manage workflow efficiently during peak hours ensures that patients receive timely results. The integration of automated sorting systems has allowed technicians to focus on quality control rather than manual sorting.</w:t>
      </w:r>
    </w:p>
    <w:p>
      <w:pPr>
        <w:numPr>
          <w:ilvl w:val="0"/>
          <w:numId w:val="1001"/>
        </w:numPr>
        <w:pStyle w:val="Compact"/>
      </w:pPr>
      <w:r>
        <w:rPr>
          <w:bCs/>
          <w:b/>
        </w:rPr>
        <w:t xml:space="preserve">Australian Centre for Research Sequencing (ACRS):</w:t>
      </w:r>
      <w:r>
        <w:br/>
      </w:r>
      <w:r>
        <w:t xml:space="preserve">Located in Melbourne’s Biomedical Precinct, ACRS relies heavily on highly skilled</w:t>
      </w:r>
      <w:r>
        <w:t xml:space="preserve"> </w:t>
      </w:r>
      <w:r>
        <w:rPr>
          <w:bCs/>
          <w:b/>
        </w:rPr>
        <w:t xml:space="preserve">Laboratory Technicians</w:t>
      </w:r>
      <w:r>
        <w:t xml:space="preserve"> </w:t>
      </w:r>
      <w:r>
        <w:t xml:space="preserve">to prepare genomic libraries. The precision required in this environment demonstrates the advanced technical skills now expected of technicians, moving beyond basic lab work into specialized sequencing preparation.</w:t>
      </w:r>
    </w:p>
    <w:bookmarkEnd w:id="26"/>
    <w:bookmarkStart w:id="27" w:name="challenges-and-future-directions"/>
    <w:p>
      <w:pPr>
        <w:pStyle w:val="Heading1"/>
      </w:pPr>
      <w:r>
        <w:t xml:space="preserve">Challenges and Future Directions</w:t>
      </w:r>
    </w:p>
    <w:p>
      <w:pPr>
        <w:pStyle w:val="FirstParagraph"/>
      </w:pPr>
      <w:r>
        <w:t xml:space="preserve">Despite their importance,</w:t>
      </w:r>
      <w:r>
        <w:t xml:space="preserve"> </w:t>
      </w:r>
      <w:r>
        <w:rPr>
          <w:bCs/>
          <w:b/>
        </w:rPr>
        <w:t xml:space="preserve">Laboratory Technicians</w:t>
      </w:r>
      <w:r>
        <w:t xml:space="preserve"> </w:t>
      </w:r>
      <w:r>
        <w:t xml:space="preserve">in</w:t>
      </w:r>
      <w:r>
        <w:t xml:space="preserve"> </w:t>
      </w:r>
      <w:r>
        <w:rPr>
          <w:bCs/>
          <w:b/>
        </w:rPr>
        <w:t xml:space="preserve">Australia Melbourne</w:t>
      </w:r>
    </w:p>
    <w:p>
      <w:pPr>
        <w:pStyle w:val="BodyText"/>
      </w:pPr>
      <w:r>
        <w:t xml:space="preserve">To address these issues, this paper recommends:</w:t>
      </w:r>
    </w:p>
    <w:p>
      <w:pPr>
        <w:numPr>
          <w:ilvl w:val="0"/>
          <w:numId w:val="1002"/>
        </w:numPr>
        <w:pStyle w:val="Compact"/>
      </w:pPr>
      <w:r>
        <w:rPr>
          <w:bCs/>
          <w:b/>
        </w:rPr>
        <w:t xml:space="preserve">Career Pathway Definition:</w:t>
      </w:r>
      <w:r>
        <w:t xml:space="preserve"> </w:t>
      </w:r>
      <w:r>
        <w:t xml:space="preserve">Establishing clear promotion tracks for technical staff within universities and hospitals.</w:t>
      </w:r>
    </w:p>
    <w:p>
      <w:pPr>
        <w:numPr>
          <w:ilvl w:val="0"/>
          <w:numId w:val="1002"/>
        </w:numPr>
        <w:pStyle w:val="Compact"/>
      </w:pPr>
      <w:r>
        <w:rPr>
          <w:bCs/>
          <w:b/>
        </w:rPr>
        <w:t xml:space="preserve">Mentorship Programs:</w:t>
      </w:r>
      <w:r>
        <w:t xml:space="preserve"> </w:t>
      </w:r>
      <w:r>
        <w:t xml:space="preserve">Encouraging senior researchers to mentor technicians, fostering a culture of mutual respect and knowledge sharing.</w:t>
      </w:r>
    </w:p>
    <w:p>
      <w:pPr>
        <w:numPr>
          <w:ilvl w:val="0"/>
          <w:numId w:val="1002"/>
        </w:numPr>
        <w:pStyle w:val="Compact"/>
      </w:pPr>
      <w:r>
        <w:rPr>
          <w:bCs/>
          <w:b/>
        </w:rPr>
        <w:t xml:space="preserve">Institutional Support:</w:t>
      </w:r>
      <w:r>
        <w:t xml:space="preserve"> </w:t>
      </w:r>
      <w:r>
        <w:t xml:space="preserve">Universities in</w:t>
      </w:r>
    </w:p>
    <w:p>
      <w:pPr>
        <w:numPr>
          <w:ilvl w:val="0"/>
          <w:numId w:val="1000"/>
        </w:numPr>
        <w:pStyle w:val="Compact"/>
      </w:pPr>
      <w:r>
        <w:t xml:space="preserve">Australia Melbourne</w:t>
      </w:r>
    </w:p>
    <w:bookmarkEnd w:id="27"/>
    <w:bookmarkStart w:id="28" w:name="conclusion"/>
    <w:p>
      <w:pPr>
        <w:pStyle w:val="Heading1"/>
      </w:pPr>
      <w:r>
        <w:t xml:space="preserve">Conclusion</w:t>
      </w:r>
    </w:p>
    <w:p>
      <w:pPr>
        <w:pStyle w:val="FirstParagraph"/>
      </w:pPr>
      <w:r>
        <w:t xml:space="preserve">The success of scientific research in</w:t>
      </w:r>
      <w:r>
        <w:t xml:space="preserve"> </w:t>
      </w:r>
      <w:r>
        <w:rPr>
          <w:bCs/>
          <w:b/>
        </w:rPr>
        <w:t xml:space="preserve">Australia Melbourne</w:t>
      </w:r>
      <w:r>
        <w:t xml:space="preserve">Laboratory Technicians. As we move forward, it is imperative that academic conferences, policymakers, and industry leaders recognize these professionals not just as support staff, but as integral partners in innovation. By elevating the status of the</w:t>
      </w:r>
      <w:r>
        <w:t xml:space="preserve"> </w:t>
      </w:r>
      <w:r>
        <w:rPr>
          <w:bCs/>
          <w:b/>
        </w:rPr>
        <w:t xml:space="preserve">Laboratory Technician</w:t>
      </w:r>
      <w:r>
        <w:t xml:space="preserve"> </w:t>
      </w:r>
      <w:r>
        <w:t xml:space="preserve">within our communities, we ensure that Melbourne remains at the forefront of global scientific achievement.</w:t>
      </w:r>
    </w:p>
    <w:p>
      <w:pPr>
        <w:pStyle w:val="BodyText"/>
      </w:pPr>
      <w:r>
        <w:t xml:space="preserve">In conclusion, a robust strategy for maintaining</w:t>
      </w:r>
      <w:r>
        <w:t xml:space="preserve"> </w:t>
      </w:r>
      <w:r>
        <w:rPr>
          <w:bCs/>
          <w:b/>
        </w:rPr>
        <w:t xml:space="preserve">Australia Melbourne’s</w:t>
      </w:r>
    </w:p>
    <w:bookmarkEnd w:id="28"/>
    <w:bookmarkStart w:id="29" w:name="references"/>
    <w:p>
      <w:pPr>
        <w:pStyle w:val="Heading1"/>
      </w:pPr>
      <w:r>
        <w:t xml:space="preserve">References</w:t>
      </w:r>
    </w:p>
    <w:p>
      <w:pPr>
        <w:numPr>
          <w:ilvl w:val="0"/>
          <w:numId w:val="1003"/>
        </w:numPr>
        <w:pStyle w:val="Compact"/>
      </w:pPr>
      <w:r>
        <w:t xml:space="preserve">National Health and Medical Research Council (NHMRC). (2023). Guidelines for the Use of Animals in Scientific Research. Canberra.</w:t>
      </w:r>
    </w:p>
    <w:p>
      <w:pPr>
        <w:numPr>
          <w:ilvl w:val="0"/>
          <w:numId w:val="1003"/>
        </w:numPr>
        <w:pStyle w:val="Compact"/>
      </w:pPr>
      <w:r>
        <w:t xml:space="preserve">Safe Work Australia. (2024). Model Code of Practice: How to Manage Work Health and Safety Risks. Canberra.</w:t>
      </w:r>
    </w:p>
    <w:p>
      <w:pPr>
        <w:numPr>
          <w:ilvl w:val="0"/>
          <w:numId w:val="1003"/>
        </w:numPr>
        <w:pStyle w:val="Compact"/>
      </w:pPr>
      <w:r>
        <w:t xml:space="preserve">Melbourne Biotech Council. (2023). Annual Report on the Life Sciences Sector in Victoria. Melbourne.</w:t>
      </w:r>
    </w:p>
    <w:p>
      <w:pPr>
        <w:numPr>
          <w:ilvl w:val="0"/>
          <w:numId w:val="1003"/>
        </w:numPr>
        <w:pStyle w:val="Compact"/>
      </w:pPr>
      <w:r>
        <w:t xml:space="preserve">University of Melbourne Faculty of Science. (2024). Strategic Plan for Laboratory Infrastructure and Workforce Development.</w:t>
      </w:r>
    </w:p>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Laboratory Technician in the Melbourne Research Ecosystem</dc:title>
  <dc:creator/>
  <dc:language>en</dc:language>
  <cp:keywords/>
  <dcterms:created xsi:type="dcterms:W3CDTF">2026-07-29T17:58:39Z</dcterms:created>
  <dcterms:modified xsi:type="dcterms:W3CDTF">2026-07-29T17:58:39Z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