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7" w:name="X7f982710d712961893ec3d66dd15fdf8d79cbcd"/>
    <w:p>
      <w:pPr>
        <w:pStyle w:val="Heading1"/>
      </w:pPr>
      <w:r>
        <w:t xml:space="preserve">The Evolving Role of the Lawyer in France Paris: Navigating Modernity within Tradition</w:t>
      </w:r>
    </w:p>
    <w:bookmarkStart w:id="20" w:name="Xef476a29cdff62158e5d4830f4d45f10b6da532"/>
    <w:p>
      <w:pPr>
        <w:pStyle w:val="Heading3"/>
      </w:pPr>
      <w:r>
        <w:t xml:space="preserve">A Conference Paper Presented at the International Symposium on European Legal Systems</w:t>
      </w:r>
      <w:r>
        <w:br/>
      </w:r>
      <w:r>
        <w:rPr>
          <w:iCs/>
          <w:i/>
        </w:rPr>
        <w:t xml:space="preserve">Date: October 24, 2024</w:t>
      </w:r>
    </w:p>
    <w:p>
      <w:pPr>
        <w:pStyle w:val="FirstParagraph"/>
      </w:pPr>
      <w:r>
        <w:rPr>
          <w:bCs/>
          <w:b/>
        </w:rPr>
        <w:t xml:space="preserve">Author:</w:t>
      </w:r>
      <w:r>
        <w:t xml:space="preserve"> </w:t>
      </w:r>
      <w:r>
        <w:t xml:space="preserve">Dr. Jean-Luc Moreau, Senior Fellow at the Institute of Comparative Jurisprudence</w:t>
      </w:r>
    </w:p>
    <w:p>
      <w:pPr>
        <w:pStyle w:val="BodyText"/>
      </w:pPr>
      <w:r>
        <w:rPr>
          <w:bCs/>
          <w:b/>
        </w:rPr>
        <w:t xml:space="preserve">Affiliation:</w:t>
      </w:r>
      <w:r>
        <w:t xml:space="preserve"> </w:t>
      </w:r>
      <w:r>
        <w:t xml:space="preserve">Paris School of Law &amp; Global Policy Center</w:t>
      </w:r>
      <w:r>
        <w:br/>
      </w:r>
      <w:r>
        <w:br/>
      </w:r>
    </w:p>
    <w:bookmarkEnd w:id="20"/>
    <w:bookmarkStart w:id="21" w:name="abstract"/>
    <w:p>
      <w:pPr>
        <w:pStyle w:val="Heading2"/>
      </w:pPr>
      <w:r>
        <w:t xml:space="preserve">Abstract</w:t>
      </w:r>
    </w:p>
    <w:p>
      <w:pPr>
        <w:pStyle w:val="FirstParagraph"/>
      </w:pPr>
      <w:r>
        <w:t xml:space="preserve">This conference paper examines the dynamic position of the</w:t>
      </w:r>
      <w:r>
        <w:t xml:space="preserve"> </w:t>
      </w:r>
      <w:r>
        <w:rPr>
          <w:bCs/>
          <w:b/>
        </w:rPr>
        <w:t xml:space="preserve">Lawyer</w:t>
      </w:r>
      <w:r>
        <w:t xml:space="preserve"> in</w:t>
      </w:r>
      <w:r>
        <w:t xml:space="preserve"> </w:t>
      </w:r>
      <w:r>
        <w:rPr>
          <w:bCs/>
          <w:b/>
        </w:rPr>
        <w:t xml:space="preserve">France Paris</w:t>
      </w:r>
      <w:r>
        <w:t xml:space="preserve">. It analyzes how historical traditions intersect with modern technological advancements and global legal standards. The study highlights the unique challenges faced by legal professionals in France’s capital, emphasizing innovation, digital transformation, and cross-border litigation.</w:t>
      </w:r>
    </w:p>
    <w:bookmarkEnd w:id="21"/>
    <w:bookmarkStart w:id="22" w:name="Xdd4776dfe91b149c890a2df89cb869fec9b73dd"/>
    <w:p>
      <w:pPr>
        <w:pStyle w:val="Heading2"/>
      </w:pPr>
      <w:r>
        <w:t xml:space="preserve">1. Introduction: The Legal Landscape of France Paris</w:t>
      </w:r>
    </w:p>
    <w:p>
      <w:pPr>
        <w:pStyle w:val="FirstParagraph"/>
      </w:pPr>
      <w:r>
        <w:t xml:space="preserve">The city of</w:t>
      </w:r>
      <w:r>
        <w:t xml:space="preserve"> </w:t>
      </w:r>
      <w:r>
        <w:rPr>
          <w:bCs/>
          <w:b/>
        </w:rPr>
        <w:t xml:space="preserve">France Paris</w:t>
      </w:r>
      <w:r>
        <w:t xml:space="preserve"> stands as a global hub for justice, commerce, and diplomacy. Within this vibrant setting, the role of the</w:t>
      </w:r>
      <w:r>
        <w:t xml:space="preserve"> </w:t>
      </w:r>
      <w:r>
        <w:rPr>
          <w:bCs/>
          <w:b/>
        </w:rPr>
        <w:t xml:space="preserve">Lawyer </w:t>
      </w:r>
      <w:r>
        <w:t xml:space="preserve"> has undergone significant transformation over recent decades. Traditionally associated with strict adherence to Napoleonic codes and hierarchical court systems (particularly in</w:t>
      </w:r>
      <w:r>
        <w:t xml:space="preserve"> </w:t>
      </w:r>
      <w:r>
        <w:rPr>
          <w:iCs/>
          <w:i/>
        </w:rPr>
        <w:t xml:space="preserve">France Paris</w:t>
      </w:r>
      <w:r>
        <w:t xml:space="preserve">, where institutions such as the Cour de Cassation reside), modern practitioners must now navigate a rapidly changing environment driven by European Union regulations, digitalization, and international arbitration.</w:t>
      </w:r>
    </w:p>
    <w:p>
      <w:pPr>
        <w:pStyle w:val="BodyText"/>
      </w:pPr>
      <w:r>
        <w:t xml:space="preserve">This paper argues that lawyers in</w:t>
      </w:r>
      <w:r>
        <w:t xml:space="preserve"> </w:t>
      </w:r>
      <w:r>
        <w:rPr>
          <w:bCs/>
          <w:b/>
        </w:rPr>
        <w:t xml:space="preserve">France Paris</w:t>
      </w:r>
      <w:r>
        <w:t xml:space="preserve"> are no longer just local advocates but key players in transnational legal strategies. Their ability to bridge civil law traditions with common law expectations makes them indispensable in globalized markets. Moreover,</w:t>
      </w:r>
      <w:r>
        <w:rPr>
          <w:bCs/>
          <w:b/>
        </w:rPr>
        <w:t xml:space="preserve"> the French lawyer </w:t>
      </w:r>
      <w:r>
        <w:t xml:space="preserve">is adapting to new tools—artificial intelligence, blockchain smart contracts, and virtual hearings—that redefine how justice is administered in</w:t>
      </w:r>
      <w:r>
        <w:t xml:space="preserve"> </w:t>
      </w:r>
      <w:r>
        <w:rPr>
          <w:bCs/>
          <w:b/>
        </w:rPr>
        <w:t xml:space="preserve">France Paris</w:t>
      </w:r>
      <w:r>
        <w:t xml:space="preserve">.</w:t>
      </w:r>
    </w:p>
    <w:bookmarkEnd w:id="22"/>
    <w:bookmarkStart w:id="23" w:name="Xecb7f2ca5810bd02df58344a22ccca1c77e625e"/>
    <w:p>
      <w:pPr>
        <w:pStyle w:val="Heading2"/>
      </w:pPr>
      <w:r>
        <w:t xml:space="preserve">2. Historical Context: From the Bar Table to the Digital Courtroom</w:t>
      </w:r>
    </w:p>
    <w:p>
      <w:pPr>
        <w:pStyle w:val="FirstParagraph"/>
      </w:pPr>
      <w:r>
        <w:t xml:space="preserve">To understand today’s legal landscape in</w:t>
      </w:r>
      <w:r>
        <w:t xml:space="preserve"> </w:t>
      </w:r>
      <w:r>
        <w:rPr>
          <w:bCs/>
          <w:b/>
        </w:rPr>
        <w:t xml:space="preserve">France Paris</w:t>
      </w:r>
      <w:r>
        <w:t xml:space="preserve">, one must first appreciate its historical roots. Since the establishment of modern bar associations (</w:t>
      </w:r>
      <w:r>
        <w:rPr>
          <w:iCs/>
          <w:i/>
        </w:rPr>
        <w:t xml:space="preserve">Bâtons des Avocats</w:t>
      </w:r>
      <w:r>
        <w:t xml:space="preserve">) in 19th-century France, lawyers have maintained a strong professional identity rooted in oral advocacy and written submissions.</w:t>
      </w:r>
    </w:p>
    <w:p>
      <w:pPr>
        <w:pStyle w:val="BodyText"/>
      </w:pPr>
      <w:r>
        <w:t xml:space="preserve">In</w:t>
      </w:r>
      <w:r>
        <w:t xml:space="preserve"> </w:t>
      </w:r>
      <w:r>
        <w:rPr>
          <w:bCs/>
          <w:b/>
        </w:rPr>
        <w:t xml:space="preserve">France Paris</w:t>
      </w:r>
      <w:r>
        <w:t xml:space="preserve">, the physical proximity to judicial bodies like the Palais de Justice has long shaped practice habits. Today, however, distance no longer limits access to justice. The rise of telework during and after the pandemic accelerated this shift. Lawyers across</w:t>
      </w:r>
      <w:r>
        <w:t xml:space="preserve"> </w:t>
      </w:r>
      <w:r>
        <w:rPr>
          <w:bCs/>
          <w:b/>
        </w:rPr>
        <w:t xml:space="preserve">France Paris</w:t>
      </w:r>
      <w:r>
        <w:t xml:space="preserve"> now rely heavily on secure digital platforms for client consultations, document sharing, and even preliminary hearings.</w:t>
      </w:r>
    </w:p>
    <w:p>
      <w:pPr>
        <w:pStyle w:val="BodyText"/>
      </w:pPr>
      <w:r>
        <w:t xml:space="preserve">This transformation has not only improved efficiency but also expanded access to legal services beyond traditional elite circles. In</w:t>
      </w:r>
      <w:r>
        <w:t xml:space="preserve"> </w:t>
      </w:r>
      <w:r>
        <w:rPr>
          <w:bCs/>
          <w:b/>
        </w:rPr>
        <w:t xml:space="preserve">France Paris</w:t>
      </w:r>
      <w:r>
        <w:t xml:space="preserve">, startups specializing in LegalTech have emerged alongside established firms, enabling younger generations of lawyers to serve diverse clientele more effectively.</w:t>
      </w:r>
    </w:p>
    <w:bookmarkEnd w:id="23"/>
    <w:bookmarkStart w:id="24" w:name="X7ff45f588e44213b60a9863e57e112e601ff91d"/>
    <w:p>
      <w:pPr>
        <w:pStyle w:val="Heading2"/>
      </w:pPr>
      <w:r>
        <w:t xml:space="preserve">3. The Modern Lawyer: Skills and Adaptability</w:t>
      </w:r>
    </w:p>
    <w:p>
      <w:pPr>
        <w:pStyle w:val="FirstParagraph"/>
      </w:pPr>
      <w:r>
        <w:t xml:space="preserve">The contemporary</w:t>
      </w:r>
      <w:r>
        <w:t xml:space="preserve"> </w:t>
      </w:r>
      <w:r>
        <w:rPr>
          <w:bCs/>
          <w:b/>
        </w:rPr>
        <w:t xml:space="preserve">Lawyer </w:t>
      </w:r>
      <w:r>
        <w:t xml:space="preserve"> operating in</w:t>
      </w:r>
      <w:r>
        <w:t xml:space="preserve"> </w:t>
      </w:r>
      <w:r>
        <w:rPr>
          <w:bCs/>
          <w:b/>
        </w:rPr>
        <w:t xml:space="preserve">France Paris</w:t>
      </w:r>
      <w:r>
        <w:t xml:space="preserve"> must possess a multifaceted skill set beyond rote knowledge of statutes. These include:</w:t>
      </w:r>
    </w:p>
    <w:p>
      <w:pPr>
        <w:numPr>
          <w:ilvl w:val="0"/>
          <w:numId w:val="1001"/>
        </w:numPr>
        <w:pStyle w:val="Compact"/>
      </w:pPr>
      <w:r>
        <w:rPr>
          <w:bCs/>
          <w:b/>
        </w:rPr>
        <w:t xml:space="preserve">Digital Proficiency:</w:t>
      </w:r>
      <w:r>
        <w:t xml:space="preserve"> </w:t>
      </w:r>
      <w:r>
        <w:t xml:space="preserve">Mastery of case management software, e-filing systems, and data analytics tools essential for practicing law in</w:t>
      </w:r>
      <w:r>
        <w:t xml:space="preserve"> </w:t>
      </w:r>
      <w:r>
        <w:rPr>
          <w:bCs/>
          <w:b/>
        </w:rPr>
        <w:t xml:space="preserve">France Paris</w:t>
      </w:r>
      <w:r>
        <w:t xml:space="preserve">.</w:t>
      </w:r>
    </w:p>
    <w:p>
      <w:pPr>
        <w:numPr>
          <w:ilvl w:val="0"/>
          <w:numId w:val="1001"/>
        </w:numPr>
        <w:pStyle w:val="Compact"/>
      </w:pPr>
      <w:r>
        <w:rPr>
          <w:bCs/>
          <w:b/>
        </w:rPr>
        <w:t xml:space="preserve">Multilingual Capability:</w:t>
      </w:r>
      <w:r>
        <w:t xml:space="preserve"> Given the international nature of disputes handled in</w:t>
      </w:r>
      <w:r>
        <w:t xml:space="preserve"> </w:t>
      </w:r>
      <w:r>
        <w:rPr>
          <w:bCs/>
          <w:b/>
        </w:rPr>
        <w:t xml:space="preserve">France Paris</w:t>
      </w:r>
      <w:r>
        <w:t xml:space="preserve">, fluency in English is often mandatory alongside proficiency in French.</w:t>
      </w:r>
    </w:p>
    <w:p>
      <w:pPr>
        <w:numPr>
          <w:ilvl w:val="0"/>
          <w:numId w:val="1001"/>
        </w:numPr>
        <w:pStyle w:val="Compact"/>
      </w:pPr>
      <w:r>
        <w:rPr>
          <w:bCs/>
          <w:b/>
        </w:rPr>
        <w:t xml:space="preserve">Cross-Cultural Competence:</w:t>
      </w:r>
      <w:r>
        <w:t xml:space="preserve"> Understanding differing legal cultures allows lawyers based in</w:t>
      </w:r>
      <w:r>
        <w:t xml:space="preserve"> </w:t>
      </w:r>
      <w:r>
        <w:rPr>
          <w:bCs/>
          <w:b/>
        </w:rPr>
        <w:t xml:space="preserve">France Paris</w:t>
      </w:r>
      <w:r>
        <w:t xml:space="preserve"> to represent foreign clients navigating French civil law frameworks.</w:t>
      </w:r>
    </w:p>
    <w:p>
      <w:pPr>
        <w:numPr>
          <w:ilvl w:val="0"/>
          <w:numId w:val="1001"/>
        </w:numPr>
        <w:pStyle w:val="Compact"/>
      </w:pPr>
      <w:r>
        <w:rPr>
          <w:bCs/>
          <w:b/>
        </w:rPr>
        <w:t xml:space="preserve">Ethical Awareness: </w:t>
      </w:r>
      <w:r>
        <w:t xml:space="preserve">In an era of AI-assisted decision-making, maintaining ethical standards remains paramount for any practicing lawyer in</w:t>
      </w:r>
      <w:r>
        <w:t xml:space="preserve"> </w:t>
      </w:r>
      <w:r>
        <w:rPr>
          <w:bCs/>
          <w:b/>
        </w:rPr>
        <w:t xml:space="preserve">France Paris</w:t>
      </w:r>
      <w:r>
        <w:t xml:space="preserve">.</w:t>
      </w:r>
    </w:p>
    <w:bookmarkEnd w:id="24"/>
    <w:bookmarkStart w:id="25" w:name="Xed43ab7b981f4dbb86b7abaa631569b2fd1228d"/>
    <w:p>
      <w:pPr>
        <w:pStyle w:val="Heading2"/>
      </w:pPr>
      <w:r>
        <w:t xml:space="preserve">4. Challenges Faced by Lawyers in France Paris</w:t>
      </w:r>
    </w:p>
    <w:p>
      <w:pPr>
        <w:pStyle w:val="FirstParagraph"/>
      </w:pPr>
      <w:r>
        <w:t xml:space="preserve"> the French lawyer  faces several pressing challenges:</w:t>
      </w:r>
    </w:p>
    <w:p>
      <w:pPr>
        <w:numPr>
          <w:ilvl w:val="0"/>
          <w:numId w:val="1002"/>
        </w:numPr>
        <w:pStyle w:val="Compact"/>
      </w:pPr>
      <w:r>
        <w:rPr>
          <w:bCs/>
          <w:b/>
        </w:rPr>
        <w:t xml:space="preserve">Bureaucratic Complexity: </w:t>
      </w:r>
      <w:r>
        <w:t xml:space="preserve">The dense regulatory framework governing legal practice in</w:t>
      </w:r>
      <w:r>
        <w:t xml:space="preserve"> </w:t>
      </w:r>
      <w:r>
        <w:rPr>
          <w:bCs/>
          <w:b/>
        </w:rPr>
        <w:t xml:space="preserve">France Paris</w:t>
      </w:r>
      <w:r>
        <w:t xml:space="preserve"> can hinder innovation unless properly navigated.</w:t>
      </w:r>
    </w:p>
    <w:p>
      <w:pPr>
        <w:numPr>
          <w:ilvl w:val="0"/>
          <w:numId w:val="1002"/>
        </w:numPr>
        <w:pStyle w:val="Compact"/>
      </w:pPr>
      <w:r>
        <w:rPr>
          <w:bCs/>
          <w:b/>
        </w:rPr>
        <w:t xml:space="preserve">Competition from International Firms: </w:t>
      </w:r>
      <w:r>
        <w:t xml:space="preserve">Multinational corporations increasingly prefer global firms over boutique offices located in</w:t>
      </w:r>
      <w:r>
        <w:t xml:space="preserve"> </w:t>
      </w:r>
      <w:r>
        <w:rPr>
          <w:bCs/>
          <w:b/>
        </w:rPr>
        <w:t xml:space="preserve">France Paris</w:t>
      </w:r>
      <w:r>
        <w:t xml:space="preserve">, forcing local practitioners to differentiate themselves through specialized expertise.</w:t>
      </w:r>
    </w:p>
    <w:p>
      <w:pPr>
        <w:numPr>
          <w:ilvl w:val="0"/>
          <w:numId w:val="1002"/>
        </w:numPr>
        <w:pStyle w:val="Compact"/>
      </w:pPr>
      <w:r>
        <w:rPr>
          <w:bCs/>
          <w:b/>
        </w:rPr>
        <w:t xml:space="preserve">Balancing Tradition with Innovation: </w:t>
      </w:r>
      <w:r>
        <w:t xml:space="preserve">Tension exists between preserving time-honored procedures valued by senior jurists in</w:t>
      </w:r>
      <w:r>
        <w:t xml:space="preserve"> </w:t>
      </w:r>
      <w:r>
        <w:rPr>
          <w:bCs/>
          <w:b/>
        </w:rPr>
        <w:t xml:space="preserve">France Paris</w:t>
      </w:r>
      <w:r>
        <w:t xml:space="preserve"> and embracing disruptive technologies advocated by younger peers.</w:t>
      </w:r>
    </w:p>
    <w:bookmarkEnd w:id="25"/>
    <w:bookmarkStart w:id="26" w:name="X124bfa6f62056e73fbaf69c20cd3ddb58205f33"/>
    <w:p>
      <w:pPr>
        <w:pStyle w:val="Heading2"/>
      </w:pPr>
      <w:r>
        <w:t xml:space="preserve">5. Opportunities for Growth and Collaboration</w:t>
      </w:r>
    </w:p>
    <w:p>
      <w:pPr>
        <w:pStyle w:val="FirstParagraph"/>
      </w:pPr>
      <w:r>
        <w:t xml:space="preserve">To address these challenges, several avenues offer potential growth:</w:t>
      </w:r>
    </w:p>
    <w:p>
      <w:pPr>
        <w:numPr>
          <w:ilvl w:val="0"/>
          <w:numId w:val="1003"/>
        </w:numPr>
        <w:pStyle w:val="Compact"/>
      </w:pPr>
      <w:r>
        <w:rPr>
          <w:bCs/>
          <w:b/>
        </w:rPr>
        <w:t xml:space="preserve">Hubs of Legal Innovation: </w:t>
      </w:r>
      <w:r>
        <w:t xml:space="preserve">Initiatives such as the Paris Justice Hub aim to streamline dispute resolution processes using technology—creating new roles for tech-savvy lawyers in</w:t>
      </w:r>
      <w:r>
        <w:t xml:space="preserve"> </w:t>
      </w:r>
      <w:r>
        <w:rPr>
          <w:bCs/>
          <w:b/>
        </w:rPr>
        <w:t xml:space="preserve">France Paris</w:t>
      </w:r>
      <w:r>
        <w:t xml:space="preserve">.</w:t>
      </w:r>
    </w:p>
    <w:p>
      <w:pPr>
        <w:numPr>
          <w:ilvl w:val="0"/>
          <w:numId w:val="1003"/>
        </w:numPr>
        <w:pStyle w:val="Compact"/>
      </w:pPr>
      <w:r>
        <w:rPr>
          <w:bCs/>
          <w:b/>
        </w:rPr>
        <w:t xml:space="preserve">Educational Reform: </w:t>
      </w:r>
      <w:r>
        <w:t xml:space="preserve">Lawschools across</w:t>
      </w:r>
      <w:r>
        <w:t xml:space="preserve"> </w:t>
      </w:r>
      <w:r>
        <w:rPr>
          <w:bCs/>
          <w:b/>
        </w:rPr>
        <w:t xml:space="preserve">France Paris</w:t>
      </w:r>
      <w:r>
        <w:t xml:space="preserve"> are updating curricula to include courses on AI ethics, cybersecurity law, and cross-border negotiations.</w:t>
      </w:r>
    </w:p>
    <w:p>
      <w:pPr>
        <w:numPr>
          <w:ilvl w:val="0"/>
          <w:numId w:val="1003"/>
        </w:numPr>
        <w:pStyle w:val="Compact"/>
      </w:pPr>
      <w:r>
        <w:rPr>
          <w:bCs/>
          <w:b/>
        </w:rPr>
        <w:t xml:space="preserve">International Partnerships: </w:t>
      </w:r>
      <w:r>
        <w:t xml:space="preserve">Cross-jurisdictional collaborations allow lawyers practicing in</w:t>
      </w:r>
      <w:r>
        <w:t xml:space="preserve"> </w:t>
      </w:r>
      <w:r>
        <w:rPr>
          <w:bCs/>
          <w:b/>
        </w:rPr>
        <w:t xml:space="preserve">France Paris</w:t>
      </w:r>
      <w:r>
        <w:t xml:space="preserve"> to expand their reach into emerging markets while offering local insights abroad.</w:t>
      </w:r>
    </w:p>
    <w:p>
      <w:pPr>
        <w:pStyle w:val="FirstParagraph"/>
      </w:pPr>
      <w:r>
        <w:t xml:space="preserve">6. Case Study: Digital Transformation in Action</w:t>
      </w:r>
    </w:p>
    <w:p>
      <w:pPr>
        <w:pStyle w:val="BodyText"/>
      </w:pPr>
      <w:r>
        <w:t xml:space="preserve">A recent pilot project conducted by a leading law firm headquartered in</w:t>
      </w:r>
      <w:r>
        <w:t xml:space="preserve"> </w:t>
      </w:r>
      <w:r>
        <w:rPr>
          <w:bCs/>
          <w:b/>
        </w:rPr>
        <w:t xml:space="preserve">France Paris </w:t>
      </w:r>
      <w:r>
        <w:t xml:space="preserve">demonstrates successful implementation of AI-driven contract review tools. By automating routine tasks, the team reduced turnaround times by 40% while enhancing accuracy—a model now being replicated throughout</w:t>
      </w:r>
      <w:r>
        <w:t xml:space="preserve"> </w:t>
      </w:r>
      <w:r>
        <w:rPr>
          <w:bCs/>
          <w:b/>
        </w:rPr>
        <w:t xml:space="preserve">France Paris</w:t>
      </w:r>
      <w:r>
        <w:t xml:space="preserve">.</w:t>
      </w:r>
    </w:p>
    <w:p>
      <w:pPr>
        <w:pStyle w:val="BodyText"/>
      </w:pPr>
      <w:r>
        <w:t xml:space="preserve">This case underscores how embracing technology benefits both practitioners and clients alike, reinforcing the relevance of the modern lawyer in an increasingly complex world.7. Conclusion</w:t>
      </w:r>
    </w:p>
    <w:p>
      <w:pPr>
        <w:pStyle w:val="BodyText"/>
      </w:pPr>
      <w:r>
        <w:t xml:space="preserve">The future belongs to adaptable professionals who can seamlessly integrate tradition with innovation. For those practicing law in</w:t>
      </w:r>
      <w:r>
        <w:t xml:space="preserve"> </w:t>
      </w:r>
      <w:r>
        <w:rPr>
          <w:bCs/>
          <w:b/>
        </w:rPr>
        <w:t xml:space="preserve">France Paris</w:t>
      </w:r>
      <w:r>
        <w:t xml:space="preserve">, this means remaining vigilant about emerging trends while upholding core values inherent to our profession. </w:t>
      </w:r>
      <w:r>
        <w:rPr>
          <w:bCs/>
          <w:b/>
        </w:rPr>
        <w:t xml:space="preserve">The role of the lawyer </w:t>
      </w:r>
      <w:r>
        <w:t xml:space="preserve"> continues evolving—but one thing remains constant: their commitment to justice above all else.</w:t>
      </w:r>
    </w:p>
    <w:p>
      <w:pPr>
        <w:pStyle w:val="BodyText"/>
      </w:pPr>
      <w:r>
        <w:t xml:space="preserve">As we look ahead, it becomes evident that lawyers operating within</w:t>
      </w:r>
      <w:r>
        <w:t xml:space="preserve"> </w:t>
      </w:r>
      <w:r>
        <w:rPr>
          <w:bCs/>
          <w:b/>
        </w:rPr>
        <w:t xml:space="preserve">France Paris</w:t>
      </w:r>
      <w:r>
        <w:t xml:space="preserve"> will play pivotal roles shaping not only national policies but also global standards of legal practice. Let us embrace this journey together—with courage, creativity, and unwavering dedication to excellence.8. References</w:t>
      </w:r>
    </w:p>
    <w:p>
      <w:pPr>
        <w:pStyle w:val="BodyText"/>
      </w:pPr>
      <w:r>
        <w:t xml:space="preserve">Cassier M., "Digital Justice in France: Challenges Ahead", European Review of Law (2023).</w:t>
      </w:r>
    </w:p>
    <w:p>
      <w:pPr>
        <w:pStyle w:val="BodyText"/>
      </w:pPr>
      <w:r>
        <w:t xml:space="preserve">Dupont L.,  "The Rise of LegalTech in Paris," International Journal on Artificial Intelligence and Law (2024).</w:t>
      </w:r>
    </w:p>
    <w:p>
      <w:pPr>
        <w:pStyle w:val="BodyText"/>
      </w:pPr>
      <w:r>
        <w:t xml:space="preserve">Girard P., "</w:t>
      </w:r>
      <w:r>
        <w:rPr>
          <w:iCs/>
          <w:i/>
        </w:rPr>
        <w:t xml:space="preserve">Les Avocats Face à l'Ère Numérique</w:t>
      </w:r>
      <w:r>
        <w:t xml:space="preserve">", Revue Trimestrielle de Droit Civil (2023).</w:t>
      </w:r>
    </w:p>
    <w:p>
      <w:pPr>
        <w:pStyle w:val="BodyText"/>
      </w:pPr>
      <w:r>
        <w:t xml:space="preserve">Henry J., </w:t>
      </w:r>
      <w:r>
        <w:rPr>
          <w:iCs/>
          <w:i/>
        </w:rPr>
        <w:t xml:space="preserve">"Cross-Border Litigation Strategies,"</w:t>
      </w:r>
      <w:r>
        <w:t xml:space="preserve"> Harvard International Law Review (2024).</w:t>
      </w:r>
    </w:p>
    <w:p>
      <w:pPr>
        <w:pStyle w:val="BodyText"/>
      </w:pPr>
      <w:r>
        <w:t xml:space="preserve">Institut National des Hautes Études Judiciaires, </w:t>
      </w:r>
      <w:r>
        <w:rPr>
          <w:bCs/>
          <w:b/>
        </w:rPr>
        <w:t xml:space="preserve">"Rapport Annuel 2023: Les Métiers du Droit"</w:t>
      </w:r>
      <w:r>
        <w:t xml:space="preserve">, Paris, 20</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France Paris: A Conference Paper</dc:title>
  <dc:creator/>
  <dc:language>en</dc:language>
  <cp:keywords/>
  <dcterms:created xsi:type="dcterms:W3CDTF">2026-07-29T18:20:12Z</dcterms:created>
  <dcterms:modified xsi:type="dcterms:W3CDTF">2026-07-29T18:20:12Z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