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Legal</w:t>
      </w:r>
      <w:r>
        <w:t xml:space="preserve"> </w:t>
      </w:r>
      <w:r>
        <w:t xml:space="preserve">Modernization</w:t>
      </w:r>
      <w:r>
        <w:t xml:space="preserve"> </w:t>
      </w:r>
      <w:r>
        <w:t xml:space="preserve">and</w:t>
      </w:r>
      <w:r>
        <w:t xml:space="preserve"> </w:t>
      </w:r>
      <w:r>
        <w:t xml:space="preserve">Cultural</w:t>
      </w:r>
      <w:r>
        <w:t xml:space="preserve"> </w:t>
      </w:r>
      <w:r>
        <w:t xml:space="preserve">Heritage</w:t>
      </w:r>
    </w:p>
    <w:bookmarkStart w:id="29" w:name="Xff69f9371645a05a2870443230107a2119b0cbe"/>
    <w:p>
      <w:pPr>
        <w:pStyle w:val="Heading1"/>
      </w:pPr>
      <w:r>
        <w:t xml:space="preserve">The Evolving Role of the Lawyer in Kuwait City:</w:t>
      </w:r>
      <w:r>
        <w:br/>
      </w:r>
      <w:r>
        <w:t xml:space="preserve">Navigating Legal Modernization and Cultural Heritage</w:t>
      </w:r>
    </w:p>
    <w:p>
      <w:pPr>
        <w:pStyle w:val="FirstParagraph"/>
      </w:pPr>
      <w:r>
        <w:rPr>
          <w:bCs/>
          <w:b/>
        </w:rPr>
        <w:t xml:space="preserve">Author:</w:t>
      </w:r>
      <w:r>
        <w:t xml:space="preserve"> </w:t>
      </w:r>
      <w:r>
        <w:t xml:space="preserve">Dr. Ahmed Al-Sabah</w:t>
      </w:r>
      <w:r>
        <w:br/>
      </w:r>
      <w:r>
        <w:t xml:space="preserve">Department of Commercial Law, University of Kuwait</w:t>
      </w:r>
      <w:r>
        <w:br/>
      </w:r>
      <w:r>
        <w:t xml:space="preserve">Conference on Middle Eastern Legal Studies, 2024</w:t>
      </w:r>
    </w:p>
    <w:bookmarkStart w:id="20" w:name="abstract"/>
    <w:p>
      <w:pPr>
        <w:pStyle w:val="Heading3"/>
      </w:pPr>
      <w:r>
        <w:rPr>
          <w:iCs/>
          <w:i/>
        </w:rPr>
        <w:t xml:space="preserve">Abstract</w:t>
      </w:r>
    </w:p>
    <w:p>
      <w:pPr>
        <w:pStyle w:val="FirstParagraph"/>
      </w:pPr>
      <w:r>
        <w:t xml:space="preserve">This paper examines the dynamic landscape of the legal profession within Kuwait City, focusing on the multifaceted role of the Lawyer in a rapidly modernizing nation. As Kuwait City serves as both a historical hub and a futuristic vision center under Vision 2035, Lawyers must balance traditional Islamic jurisprudence with international commercial standards. This study analyzes regulatory changes, the impact of digital transformation on legal services, and the ethical responsibilities inherent to practicing Law in the capital region.</w:t>
      </w:r>
    </w:p>
    <w:bookmarkEnd w:id="20"/>
    <w:bookmarkStart w:id="21" w:name="introduction"/>
    <w:p>
      <w:pPr>
        <w:pStyle w:val="Heading2"/>
      </w:pPr>
      <w:r>
        <w:t xml:space="preserve">1. Introduction</w:t>
      </w:r>
    </w:p>
    <w:p>
      <w:pPr>
        <w:pStyle w:val="FirstParagraph"/>
      </w:pPr>
      <w:r>
        <w:t xml:space="preserve">The legal landscape of Kuwait is undergoing a profound transformation, driven by economic diversification and social evolution. At the heart of this change is the professional figure known as the Lawyer. In Kuwait City, which stands as the political and economic epicenter of the nation, Lawyers are not merely advocates in courtrooms but are pivotal stakeholders in shaping policy, facilitating foreign investment, and upholding social justice. This paper explores how a Lawyer operates within this unique jurisdictional context.</w:t>
      </w:r>
    </w:p>
    <w:p>
      <w:pPr>
        <w:pStyle w:val="BodyText"/>
      </w:pPr>
      <w:r>
        <w:t xml:space="preserve">Kuwait City is characterized by its distinctive blend of modern skyscrapers and traditional souqs, reflecting the dual nature of its legal system. On one hand, it adheres to civil law traditions influenced by Egyptian and French codes; on the other, Sharia principles govern family law and personal status issues. The Lawyer in Kuwait City must therefore possess a versatile skill set capable of navigating these intersecting legal frameworks.</w:t>
      </w:r>
    </w:p>
    <w:bookmarkEnd w:id="21"/>
    <w:bookmarkStart w:id="22" w:name="X0572e3f09fa81ecaefc09353e794c46e425a3d0"/>
    <w:p>
      <w:pPr>
        <w:pStyle w:val="Heading2"/>
      </w:pPr>
      <w:r>
        <w:t xml:space="preserve">2. Regulatory Framework and Professional Ethics</w:t>
      </w:r>
    </w:p>
    <w:p>
      <w:pPr>
        <w:pStyle w:val="FirstParagraph"/>
      </w:pPr>
      <w:r>
        <w:t xml:space="preserve">The practice of Law in Kuwait is strictly regulated by the Lawyers’ Office, an independent entity established to oversee the conduct and qualifications of all practitioners in Kuwait City. For a Lawyer to be licensed, rigorous examinations are required, ensuring that every Lawyer possesses a deep understanding of both domestic statutes and international treaties.</w:t>
      </w:r>
    </w:p>
    <w:p>
      <w:pPr>
        <w:pStyle w:val="BodyText"/>
      </w:pPr>
      <w:r>
        <w:t xml:space="preserve">Ethical standards are paramount. Recent amendments to the Legal Profession Law have strengthened accountability mechanisms for Lawyers. These changes aim to enhance transparency in client-attorney relationships and prevent conflicts of interest. For instance, a Lawyer handling corporate mergers in the Salwa district must disclose any potential conflicts clearly, adhering to strict ethical guidelines enforced by the Bar Association.</w:t>
      </w:r>
    </w:p>
    <w:bookmarkEnd w:id="22"/>
    <w:bookmarkStart w:id="23" w:name="X72b4dc7db3b9153eea8cb11fd0be3da3433b3d1"/>
    <w:p>
      <w:pPr>
        <w:pStyle w:val="Heading2"/>
      </w:pPr>
      <w:r>
        <w:t xml:space="preserve">3. Economic Diversification and Corporate Law</w:t>
      </w:r>
    </w:p>
    <w:p>
      <w:pPr>
        <w:pStyle w:val="FirstParagraph"/>
      </w:pPr>
      <w:r>
        <w:t xml:space="preserve">Kuwait City is striving to reduce its reliance on oil revenues through Vision 2035 (New Kuwait). This economic shift has significantly increased the demand for specialized Lawyers in sectors such as finance, technology, and real estate.</w:t>
      </w:r>
    </w:p>
    <w:p>
      <w:pPr>
        <w:numPr>
          <w:ilvl w:val="0"/>
          <w:numId w:val="1001"/>
        </w:numPr>
        <w:pStyle w:val="Compact"/>
      </w:pPr>
      <w:r>
        <w:rPr>
          <w:bCs/>
          <w:b/>
        </w:rPr>
        <w:t xml:space="preserve">Financial Services:</w:t>
      </w:r>
      <w:r>
        <w:t xml:space="preserve"> </w:t>
      </w:r>
      <w:r>
        <w:t xml:space="preserve">With the expansion of financial free zones like Bidaa Central, Lawyers are essential in structuring deals that comply with both local regulations and international banking standards. A Lawyer specializing in corporate law ensures that contracts align with global best practices while respecting Kuwaiti sovereignty.</w:t>
      </w:r>
    </w:p>
    <w:p>
      <w:pPr>
        <w:numPr>
          <w:ilvl w:val="0"/>
          <w:numId w:val="1001"/>
        </w:numPr>
        <w:pStyle w:val="Compact"/>
      </w:pPr>
      <w:r>
        <w:rPr>
          <w:bCs/>
          <w:b/>
        </w:rPr>
        <w:t xml:space="preserve">Real Estate Development:</w:t>
      </w:r>
      <w:r>
        <w:t xml:space="preserve"> </w:t>
      </w:r>
      <w:r>
        <w:t xml:space="preserve">The booming construction industry in Kuwait City requires Lawyers to manage complex land disputes, zoning laws, and regulatory compliance. These professionals play a critical role in ensuring sustainable urban development.</w:t>
      </w:r>
    </w:p>
    <w:bookmarkEnd w:id="23"/>
    <w:bookmarkStart w:id="24" w:name="Xbb2697c40a4bcd145e1fdb920f05756679f32c4"/>
    <w:p>
      <w:pPr>
        <w:pStyle w:val="Heading2"/>
      </w:pPr>
      <w:r>
        <w:t xml:space="preserve">4. Digital Transformation and Legal Technology</w:t>
      </w:r>
    </w:p>
    <w:p>
      <w:pPr>
        <w:pStyle w:val="FirstParagraph"/>
      </w:pPr>
      <w:r>
        <w:t xml:space="preserve">The advent of legal tech has begun to reshape how a Lawyer operates in Kuwait City. Courts are increasingly adopting electronic filing systems, and Law firms are utilizing AI-driven tools for contract analysis due diligence.</w:t>
      </w:r>
    </w:p>
    <w:p>
      <w:pPr>
        <w:pStyle w:val="BodyText"/>
      </w:pPr>
      <w:r>
        <w:t xml:space="preserve">This technological shift presents both opportunities and challenges. On one hand, it enhances efficiency; on the other, it raises questions about data privacy and the digital divide among clients in Kuwait City. Lawyers must adapt by acquiring technical literacy while maintaining the human element of legal counsel.</w:t>
      </w:r>
    </w:p>
    <w:bookmarkEnd w:id="24"/>
    <w:bookmarkStart w:id="25" w:name="social-justice-and-human-rights-advocacy"/>
    <w:p>
      <w:pPr>
        <w:pStyle w:val="Heading2"/>
      </w:pPr>
      <w:r>
        <w:t xml:space="preserve">5. Social Justice and Human Rights Advocacy</w:t>
      </w:r>
    </w:p>
    <w:p>
      <w:pPr>
        <w:pStyle w:val="FirstParagraph"/>
      </w:pPr>
      <w:r>
        <w:t xml:space="preserve">Beyond commercial transactions, a Lawyer in Kuwait City plays a crucial role in advocating for social justice. The profession is increasingly involved in labor rights disputes, particularly concerning migrant workers who constitute a significant portion of the workforce.</w:t>
      </w:r>
    </w:p>
    <w:p>
      <w:pPr>
        <w:pStyle w:val="BodyText"/>
      </w:pPr>
      <w:r>
        <w:t xml:space="preserve">The Lawyer serves as a guardian of due process, ensuring that legal reforms translate into tangible protections for vulnerable populations. For example, recent legislative updates regarding domestic worker rights have required Lawyers to provide specialized advocacy services. This aspect highlights the Lawyer’s responsibility beyond profit-making toward societal well-being.</w:t>
      </w:r>
    </w:p>
    <w:bookmarkEnd w:id="25"/>
    <w:bookmarkStart w:id="26" w:name="Xd79002a93afd164407e4a74413b928519d2612f"/>
    <w:p>
      <w:pPr>
        <w:pStyle w:val="Heading2"/>
      </w:pPr>
      <w:r>
        <w:t xml:space="preserve">6. Internationalization and Cross-Border Practice</w:t>
      </w:r>
    </w:p>
    <w:p>
      <w:pPr>
        <w:pStyle w:val="FirstParagraph"/>
      </w:pPr>
      <w:r>
        <w:t xml:space="preserve">Kuwait City’s strategic location makes it a gateway for international trade in the Gulf region. Consequently, many Lawyers in Kuwait City engage in cross-border practice, collaborating with firms globally.</w:t>
      </w:r>
    </w:p>
    <w:p>
      <w:pPr>
        <w:pStyle w:val="BodyText"/>
      </w:pPr>
      <w:r>
        <w:t xml:space="preserve">This international exposure necessitates proficiency in English and French languages alongside Arabic. A Lawyer handling an arbitration case between a local entity and a European investor must navigate linguistic nuances as well as differing legal cultures. The role of the Lawyer thus expands to include cultural mediation and international dispute resolution.</w:t>
      </w:r>
    </w:p>
    <w:bookmarkEnd w:id="26"/>
    <w:bookmarkStart w:id="27" w:name="conclusion"/>
    <w:p>
      <w:pPr>
        <w:pStyle w:val="Heading2"/>
      </w:pPr>
      <w:r>
        <w:t xml:space="preserve">7. Conclusion</w:t>
      </w:r>
    </w:p>
    <w:p>
      <w:pPr>
        <w:pStyle w:val="FirstParagraph"/>
      </w:pPr>
      <w:r>
        <w:t xml:space="preserve">In conclusion, the role of the Lawyer in Kuwait City is evolving rapidly. It encompasses traditional advocacy, corporate advisory, social justice activism, and technological adaptation. As Kuwait City continues its journey toward becoming a regional hub for commerce and innovation, Lawyers will remain indispensable actors in this transformation.</w:t>
      </w:r>
    </w:p>
    <w:p>
      <w:pPr>
        <w:pStyle w:val="BodyText"/>
      </w:pPr>
      <w:r>
        <w:t xml:space="preserve">The future success of Legal practices in Kuwait depends on continuous education, ethical vigilance, and adaptability. By embracing these challenges while honoring their professional duties to the State of Kuwait, Lawyers can ensure justice remains accessible and effective. The synergy between legal expertise and national development goals defines the modern Lawyer’s mandate.</w:t>
      </w:r>
    </w:p>
    <w:bookmarkEnd w:id="27"/>
    <w:bookmarkStart w:id="28" w:name="references"/>
    <w:p>
      <w:pPr>
        <w:pStyle w:val="Heading2"/>
      </w:pPr>
      <w:r>
        <w:t xml:space="preserve">References</w:t>
      </w:r>
    </w:p>
    <w:p>
      <w:pPr>
        <w:numPr>
          <w:ilvl w:val="0"/>
          <w:numId w:val="1002"/>
        </w:numPr>
        <w:pStyle w:val="Compact"/>
      </w:pPr>
      <w:r>
        <w:t xml:space="preserve">Kuwait Law No. 3 of 1964 on the Organization of Judicial Authority.</w:t>
      </w:r>
    </w:p>
    <w:p>
      <w:pPr>
        <w:numPr>
          <w:ilvl w:val="0"/>
          <w:numId w:val="1002"/>
        </w:numPr>
        <w:pStyle w:val="Compact"/>
      </w:pPr>
      <w:r>
        <w:t xml:space="preserve">The Kuwait Constitution (1962), Article on Judicial Independence.</w:t>
      </w:r>
    </w:p>
    <w:p>
      <w:pPr>
        <w:pStyle w:val="FirstParagraph"/>
      </w:pPr>
      <w:r>
        <w:t xml:space="preserve">Dr. Ahmed Al-Sabah is a Professor of Commercial Law at the University of Kuwait. His research focuses on comparative legal systems, corporate governance in the Middle East, and the ethical dimensions of Legal practice in emerging economies. He serves as an advisor to several international bodies regarding Gulf Cooperation Council (GCC) legal harmonization.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Kuwait City: Navigating Legal Modernization and Cultural Heritage</dc:title>
  <dc:creator/>
  <dc:language>en</dc:language>
  <cp:keywords/>
  <dcterms:created xsi:type="dcterms:W3CDTF">2026-07-29T22:33:28Z</dcterms:created>
  <dcterms:modified xsi:type="dcterms:W3CDTF">2026-07-29T22:33:28Z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