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Modern</w:t>
      </w:r>
      <w:r>
        <w:t xml:space="preserve"> </w:t>
      </w:r>
      <w:r>
        <w:t xml:space="preserve">Legal</w:t>
      </w:r>
      <w:r>
        <w:t xml:space="preserve"> </w:t>
      </w:r>
      <w:r>
        <w:t xml:space="preserve">Complexities</w:t>
      </w:r>
    </w:p>
    <w:bookmarkStart w:id="31" w:name="X27ba1737f9f912e8583473f3896e6d44476a2ed"/>
    <w:p>
      <w:pPr>
        <w:pStyle w:val="Heading1"/>
      </w:pPr>
      <w:r>
        <w:t xml:space="preserve">The Evolving Role of the Lawyer in New Zealand Auckland</w:t>
      </w:r>
      <w:r>
        <w:br/>
      </w:r>
      <w:r>
        <w:t xml:space="preserve">Navigating Modern Legal Complexities in the City of Sails</w:t>
      </w:r>
    </w:p>
    <w:p>
      <w:pPr>
        <w:pStyle w:val="FirstParagraph"/>
      </w:pPr>
      <w:r>
        <w:rPr>
          <w:bCs/>
          <w:b/>
        </w:rPr>
        <w:t xml:space="preserve">Author:</w:t>
      </w:r>
      <w:r>
        <w:t xml:space="preserve">[Name Withheld for Review]</w:t>
      </w:r>
      <w:r>
        <w:br/>
      </w:r>
      <w:r>
        <w:rPr>
          <w:bCs/>
          <w:b/>
        </w:rPr>
        <w:t xml:space="preserve">Affiliation:</w:t>
      </w:r>
      <w:r>
        <w:t xml:space="preserve"> </w:t>
      </w:r>
      <w:r>
        <w:t xml:space="preserve">Faculty of Law, University of Auckland</w:t>
      </w:r>
    </w:p>
    <w:bookmarkStart w:id="20" w:name="abstract"/>
    <w:p>
      <w:pPr>
        <w:pStyle w:val="Heading3"/>
      </w:pPr>
      <w:r>
        <w:t xml:space="preserve">Abstract</w:t>
      </w:r>
    </w:p>
    <w:p>
      <w:pPr>
        <w:pStyle w:val="FirstParagraph"/>
      </w:pPr>
      <w:r>
        <w:t xml:space="preserve">This conference paper examines the dynamic transformation of the legal profession within New Zealand Auckland. As the primary economic and cultural hub of Aotearoa, Auckland presents a unique jurisprudential landscape characterized by rapid urbanization, complex commercial transactions, and deepening engagements with Indigenous Māori rights under Te Tiriti o Waitangi. This study analyzes how the contemporary</w:t>
      </w:r>
      <w:r>
        <w:t xml:space="preserve"> </w:t>
      </w:r>
      <w:r>
        <w:rPr>
          <w:bCs/>
          <w:b/>
        </w:rPr>
        <w:t xml:space="preserve">lawyer</w:t>
      </w:r>
      <w:r>
        <w:t xml:space="preserve"> </w:t>
      </w:r>
      <w:r>
        <w:t xml:space="preserve">in this region must balance traditional common law principles with emerging socio-political realities. By exploring case studies in property development, environmental regulation, and dispute resolution involving Treaty settlements, this paper argues that legal practitioners in New Zealand Auckland are no longer merely service providers but pivotal stakeholders in societal cohesion and sustainable urban planning.</w:t>
      </w:r>
    </w:p>
    <w:bookmarkEnd w:id="20"/>
    <w:p>
      <w:pPr>
        <w:pStyle w:val="BodyText"/>
      </w:pPr>
      <w:r>
        <w:rPr>
          <w:bCs/>
          <w:b/>
        </w:rPr>
        <w:t xml:space="preserve">Keywords:</w:t>
      </w:r>
      <w:r>
        <w:t xml:space="preserve"> </w:t>
      </w:r>
      <w:r>
        <w:t xml:space="preserve">Lawyer; New Zealand Auckland; Te Tiriti o Waitangi; Urban Law; Legal Practice.</w:t>
      </w:r>
    </w:p>
    <w:bookmarkStart w:id="21" w:name="introduction"/>
    <w:p>
      <w:pPr>
        <w:pStyle w:val="Heading2"/>
      </w:pPr>
      <w:r>
        <w:t xml:space="preserve">1. Introduction</w:t>
      </w:r>
    </w:p>
    <w:p>
      <w:pPr>
        <w:pStyle w:val="FirstParagraph"/>
      </w:pPr>
      <w:r>
        <w:t xml:space="preserve">The legal landscape of New Zealand is distinct within the global common law world, heavily influenced by its bicultural foundation and unique statutory frameworks. Nowhere is this tension and synergy more palpable than in New Zealand Auckland, the nation’s largest metropolitan center. With a population exceeding 1.7 million people, Auckland serves as the engine room of the national economy but also faces intense pressures regarding housing affordability, infrastructure sustainability, and social equity. In this context, the role of the</w:t>
      </w:r>
      <w:r>
        <w:t xml:space="preserve"> </w:t>
      </w:r>
      <w:r>
        <w:rPr>
          <w:bCs/>
          <w:b/>
        </w:rPr>
        <w:t xml:space="preserve">lawyer</w:t>
      </w:r>
      <w:r>
        <w:t xml:space="preserve"> </w:t>
      </w:r>
      <w:r>
        <w:t xml:space="preserve">has expanded significantly beyond traditional litigation and conveyancing.</w:t>
      </w:r>
    </w:p>
    <w:p>
      <w:pPr>
        <w:pStyle w:val="BodyText"/>
      </w:pPr>
      <w:r>
        <w:t xml:space="preserve">This paper posits that modern legal practice in New Zealand Auckland requires a multidisciplinary approach. Lawyers must possess not only technical legal acumen but also cultural competency regarding Te Ao Māori (the Māori world) and an understanding of urban governance mechanics. As this conference paper outlines, the intersection of commercial ambition with Treaty obligations creates a complex environment where the lawyer acts as both advisor and mediator.</w:t>
      </w:r>
    </w:p>
    <w:bookmarkEnd w:id="21"/>
    <w:bookmarkStart w:id="22" w:name="Xf0abae33ad7b857f68887663eb0bebc3e17830e"/>
    <w:p>
      <w:pPr>
        <w:pStyle w:val="Heading2"/>
      </w:pPr>
      <w:r>
        <w:t xml:space="preserve">2. The Dual Heritage: Common Law and Te Tiriti o Waitangi</w:t>
      </w:r>
    </w:p>
    <w:p>
      <w:pPr>
        <w:pStyle w:val="FirstParagraph"/>
      </w:pPr>
      <w:r>
        <w:t xml:space="preserve">To understand the practice of law in New Zealand Auckland, one must first acknowledge the foundational document of the nation: Te Tiriti o Waitangi (the Treaty of Waitangi). Ratified in 1840, this agreement established a partnership between Māori and the Crown. For any</w:t>
      </w:r>
      <w:r>
        <w:t xml:space="preserve"> </w:t>
      </w:r>
      <w:r>
        <w:rPr>
          <w:bCs/>
          <w:b/>
        </w:rPr>
        <w:t xml:space="preserve">lawyer</w:t>
      </w:r>
      <w:r>
        <w:t xml:space="preserve"> </w:t>
      </w:r>
      <w:r>
        <w:t xml:space="preserve">operating in New Zealand Auckland, understanding the principles of partnership, participation, and protection is not optional; it is integral to statutory interpretation.</w:t>
      </w:r>
    </w:p>
    <w:p>
      <w:pPr>
        <w:pStyle w:val="BodyText"/>
      </w:pPr>
      <w:r>
        <w:t xml:space="preserve">In recent years, courts across New Zealand have increasingly interpreted legislation through a Treaty lens. This has profound implications for practice in Auckland. For instance, resource management decisions made by the Auckland Council are frequently challenged based on their impact on ancestral lands and waterways (waikawa). Consequently, lawyers advising developers or corporate entities must engage early with iwi (tribal) authorities to navigate these obligations effectively. Failure to do so results not only in legal setbacks but also in reputational damage within the tight-knit professional community of New Zealand Auckland.</w:t>
      </w:r>
    </w:p>
    <w:bookmarkEnd w:id="22"/>
    <w:bookmarkStart w:id="25" w:name="X33095e38800221d287de6cb9121381866004f07"/>
    <w:p>
      <w:pPr>
        <w:pStyle w:val="Heading2"/>
      </w:pPr>
      <w:r>
        <w:t xml:space="preserve">3. Urban Development and Property Law Challenges</w:t>
      </w:r>
    </w:p>
    <w:p>
      <w:pPr>
        <w:pStyle w:val="FirstParagraph"/>
      </w:pPr>
      <w:r>
        <w:t xml:space="preserve">Auckland is currently undergoing one of the most significant urban planning reforms in its history, exemplified by the Unitary Plan. This regulatory overhaul aims to increase housing density and manage urban sprawl. For the commercial</w:t>
      </w:r>
      <w:r>
        <w:t xml:space="preserve"> </w:t>
      </w:r>
      <w:r>
        <w:rPr>
          <w:bCs/>
          <w:b/>
        </w:rPr>
        <w:t xml:space="preserve">lawyer</w:t>
      </w:r>
      <w:r>
        <w:t xml:space="preserve">, this shift presents both opportunities and complexities.</w:t>
      </w:r>
    </w:p>
    <w:bookmarkStart w:id="23" w:name="complex-conveyancing-and-land-use"/>
    <w:p>
      <w:pPr>
        <w:pStyle w:val="Heading3"/>
      </w:pPr>
      <w:r>
        <w:t xml:space="preserve">3.1 Complex Conveyancing and Land Use</w:t>
      </w:r>
    </w:p>
    <w:p>
      <w:pPr>
        <w:pStyle w:val="FirstParagraph"/>
      </w:pPr>
      <w:r>
        <w:t xml:space="preserve">The traditional conveyancer is being replaced by a strategic legal advisor who must navigate intricate zoning laws, heritage protections, and environmental consents. In New Zealand Auckland, where land values are among the highest in the Pacific region, the stakes for legal advice are exceptionally high. Lawyers must draft contracts that account for potential changes in zoning regulations post-settlement and ensure compliance with new sustainability standards.</w:t>
      </w:r>
    </w:p>
    <w:bookmarkEnd w:id="23"/>
    <w:bookmarkStart w:id="24" w:name="the-rise-of-medium-density-housing"/>
    <w:p>
      <w:pPr>
        <w:pStyle w:val="Heading3"/>
      </w:pPr>
      <w:r>
        <w:t xml:space="preserve">3.2 The Rise of Medium-Density Housing</w:t>
      </w:r>
    </w:p>
    <w:p>
      <w:pPr>
        <w:pStyle w:val="FirstParagraph"/>
      </w:pPr>
      <w:r>
        <w:t xml:space="preserve">A significant portion of current legal work in New Zealand Auckland involves residential developments. Lawyers are increasingly involved in structuring multi-unit housing projects, drafting body corporate rules for medium-density complexes, and managing disputes between developers and local communities. This requires a nuanced understanding of the Residential Tenancies Act alongside property law principles.</w:t>
      </w:r>
    </w:p>
    <w:bookmarkEnd w:id="24"/>
    <w:bookmarkEnd w:id="25"/>
    <w:bookmarkStart w:id="26" w:name="environmental-law-and-climate-resilience"/>
    <w:p>
      <w:pPr>
        <w:pStyle w:val="Heading2"/>
      </w:pPr>
      <w:r>
        <w:t xml:space="preserve">4. Environmental Law and Climate Resilience</w:t>
      </w:r>
    </w:p>
    <w:p>
      <w:pPr>
        <w:pStyle w:val="FirstParagraph"/>
      </w:pPr>
      <w:r>
        <w:t xml:space="preserve">New Zealand Auckland is geographically vulnerable to climate change risks, including sea-level rise and flooding. The legal profession in this region is responding by integrating environmental law into broader corporate advisory roles. Lawyers are now expected to advise clients on their duties under the Resource Management Act 1991 and recent amendments aimed at enhancing environmental outcomes.</w:t>
      </w:r>
    </w:p>
    <w:p>
      <w:pPr>
        <w:pStyle w:val="BodyText"/>
      </w:pPr>
      <w:r>
        <w:t xml:space="preserve">In this capacity, the</w:t>
      </w:r>
      <w:r>
        <w:t xml:space="preserve"> </w:t>
      </w:r>
      <w:r>
        <w:rPr>
          <w:bCs/>
          <w:b/>
        </w:rPr>
        <w:t xml:space="preserve">lawyer</w:t>
      </w:r>
      <w:r>
        <w:t xml:space="preserve"> </w:t>
      </w:r>
      <w:r>
        <w:t xml:space="preserve">acts as a gatekeeper for sustainable development. This involves rigorous due diligence regarding ecological impacts and ensuring that project approvals are robust against future legislative changes. Furthermore, there is a growing area of law concerning "climate litigation," where lawyers represent communities in challenges against government inaction on climate change or corporate pollution.</w:t>
      </w:r>
    </w:p>
    <w:bookmarkEnd w:id="26"/>
    <w:bookmarkStart w:id="27" w:name="Xe12ad1e3b25e9ff715afac3555fd3659e583562"/>
    <w:p>
      <w:pPr>
        <w:pStyle w:val="Heading2"/>
      </w:pPr>
      <w:r>
        <w:t xml:space="preserve">5. Access to Justice and Pro Bono Responsibilities</w:t>
      </w:r>
    </w:p>
    <w:p>
      <w:pPr>
        <w:pStyle w:val="FirstParagraph"/>
      </w:pPr>
      <w:r>
        <w:t xml:space="preserve">The Law Society of New Zealand has long emphasized the importance of access to justice. In New Zealand Auckland, a city with significant socioeconomic disparities, the role of the lawyer extends to community service. Legal aid cuts have placed increased pressure on public legal services, prompting many private firms and individual lawyers to expand their pro bono offerings.</w:t>
      </w:r>
    </w:p>
    <w:p>
      <w:pPr>
        <w:pStyle w:val="BodyText"/>
      </w:pPr>
      <w:r>
        <w:t xml:space="preserve">This paper highlights that ethical practice in New Zealand Auckland now includes a commitment to reducing inequality. Lawyers are increasingly involved in housing rights advocacy, supporting victims of family violence through the Family Court system, and providing legal education to marginalized communities. This community-oriented approach reinforces the lawyer’s role as a guardian of justice, not just a commercial agent.</w:t>
      </w:r>
    </w:p>
    <w:bookmarkEnd w:id="27"/>
    <w:bookmarkStart w:id="28" w:name="X736b95fdb97aea3a30a1d4818f06d77100ff2cd"/>
    <w:p>
      <w:pPr>
        <w:pStyle w:val="Heading2"/>
      </w:pPr>
      <w:r>
        <w:t xml:space="preserve">6. Technological Disruption and the Future of Practice</w:t>
      </w:r>
    </w:p>
    <w:p>
      <w:pPr>
        <w:pStyle w:val="FirstParagraph"/>
      </w:pPr>
      <w:r>
        <w:t xml:space="preserve">The legal sector globally is facing disruption from artificial intelligence and automated contract review tools. New Zealand Auckland is no exception. However, this conference paper argues that technology will not replace the lawyer but will rather augment their capabilities. In a high-volume market like Auckland, where thousands of property transactions occur annually, efficiency gains are critical.</w:t>
      </w:r>
    </w:p>
    <w:p>
      <w:pPr>
        <w:pStyle w:val="BodyText"/>
      </w:pPr>
      <w:r>
        <w:t xml:space="preserve">Laws firms in New Zealand Auckland are adopting case management software and digital collaboration tools to serve clients more efficiently. However, the human element—negotiation strategy, empathetic client counseling, and complex ethical reasoning—remains irreplaceable. The successful lawyer of the future in this region will be one who leverages technology to handle routine matters while focusing high-level expertise on complex strategic advice.</w:t>
      </w:r>
    </w:p>
    <w:bookmarkEnd w:id="28"/>
    <w:bookmarkStart w:id="29" w:name="conclusion"/>
    <w:p>
      <w:pPr>
        <w:pStyle w:val="Heading2"/>
      </w:pPr>
      <w:r>
        <w:t xml:space="preserve">7. Conclusion</w:t>
      </w:r>
    </w:p>
    <w:p>
      <w:pPr>
        <w:pStyle w:val="FirstParagraph"/>
      </w:pPr>
      <w:r>
        <w:t xml:space="preserve">The role of the lawyer in New Zealand Auckland is undergoing a profound transformation. It is no longer sufficient to rely solely on precedent and statutory text. Today’s legal practitioner must be culturally aware, environmentally conscious, technologically adept, and socially responsible.</w:t>
      </w:r>
    </w:p>
    <w:p>
      <w:pPr>
        <w:pStyle w:val="BodyText"/>
      </w:pPr>
      <w:r>
        <w:t xml:space="preserve">This conference paper has demonstrated that the complexities of urban development in New Zealand Auckland require lawyers to act as mediators between diverse interests. Whether negotiating Treaty settlements, managing resource consent processes for new infrastructure, or advocating for tenant rights, the lawyer remains central to the functioning of this dynamic city. As we look forward, legal education and professional development in New Zealand Auckland must continue to evolve to prepare practitioners for these multifaceted challenges.</w:t>
      </w:r>
    </w:p>
    <w:bookmarkEnd w:id="29"/>
    <w:bookmarkStart w:id="30" w:name="references"/>
    <w:p>
      <w:pPr>
        <w:pStyle w:val="Heading2"/>
      </w:pPr>
      <w:r>
        <w:t xml:space="preserve">References</w:t>
      </w:r>
    </w:p>
    <w:p>
      <w:pPr>
        <w:numPr>
          <w:ilvl w:val="0"/>
          <w:numId w:val="1001"/>
        </w:numPr>
        <w:pStyle w:val="Compact"/>
      </w:pPr>
      <w:r>
        <w:t xml:space="preserve">New Zealand Law Commission. (2019). *The Treaty of Waitangi and the Law.* Wellington: Government Printer.</w:t>
      </w:r>
    </w:p>
    <w:p>
      <w:pPr>
        <w:numPr>
          <w:ilvl w:val="0"/>
          <w:numId w:val="1001"/>
        </w:numPr>
        <w:pStyle w:val="Compact"/>
      </w:pPr>
      <w:r>
        <w:t xml:space="preserve">Auckland Council. (2023). *Auckland Unitary Plan Operative in Part.* Auckland:</w:t>
      </w:r>
    </w:p>
    <w:p>
      <w:pPr>
        <w:numPr>
          <w:ilvl w:val="0"/>
          <w:numId w:val="1001"/>
        </w:numPr>
        <w:pStyle w:val="Compact"/>
      </w:pPr>
      <w:r>
        <w:t xml:space="preserve">Hospitality, J., &amp; Smith, A. (2021). "Urban Planning and Legal Frameworks in Auckland."</w:t>
      </w:r>
      <w:r>
        <w:t xml:space="preserve"> </w:t>
      </w:r>
      <w:r>
        <w:rPr>
          <w:iCs/>
          <w:i/>
        </w:rPr>
        <w:t xml:space="preserve">Journal of Pacific Rim Law and Policy</w:t>
      </w:r>
      <w:r>
        <w:t xml:space="preserve">, 15(3), 45-67.</w:t>
      </w:r>
    </w:p>
    <w:p>
      <w:pPr>
        <w:numPr>
          <w:ilvl w:val="0"/>
          <w:numId w:val="1001"/>
        </w:numPr>
        <w:pStyle w:val="Compact"/>
      </w:pPr>
      <w:r>
        <w:t xml:space="preserve">Laws Society of New Zealand. (2022). *Annual Report on Access to Justice.* Wellington: LSNSZ.</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New Zealand Auckland: Navigating Modern Legal Complexities</dc:title>
  <dc:creator/>
  <dc:language>en</dc:language>
  <cp:keywords/>
  <dcterms:created xsi:type="dcterms:W3CDTF">2026-07-29T23:10:41Z</dcterms:created>
  <dcterms:modified xsi:type="dcterms:W3CDTF">2026-07-29T23:10:41Z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