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Legal</w:t>
      </w:r>
      <w:r>
        <w:t xml:space="preserve"> </w:t>
      </w:r>
      <w:r>
        <w:t xml:space="preserve">Modernization</w:t>
      </w:r>
    </w:p>
    <w:bookmarkStart w:id="20" w:name="X1d6368a15020bae2e41e9c7748d1187fbb0f133"/>
    <w:p>
      <w:pPr>
        <w:pStyle w:val="Heading1"/>
      </w:pPr>
      <w:r>
        <w:t xml:space="preserve">The Evolving Role of the Lawyer in Saudi Arabia: Riyadh as a Catalyst for Legal Modernization</w:t>
      </w:r>
    </w:p>
    <w:p>
      <w:pPr>
        <w:pStyle w:val="FirstParagraph"/>
      </w:pPr>
      <w:r>
        <w:rPr>
          <w:iCs/>
          <w:i/>
          <w:bCs/>
          <w:b/>
        </w:rPr>
        <w:t xml:space="preserve">A Conference Paper Presented at the International Symposium on Middle Eastern Legal Systems</w:t>
      </w:r>
      <w:r>
        <w:br/>
      </w:r>
      <w:r>
        <w:rPr>
          <w:iCs/>
          <w:i/>
          <w:bCs/>
          <w:b/>
        </w:rPr>
        <w:t xml:space="preserve">Riyadh, Kingdom of Saudi Arabia</w:t>
      </w:r>
    </w:p>
    <w:bookmarkEnd w:id="20"/>
    <w:bookmarkStart w:id="21" w:name="abstract"/>
    <w:p>
      <w:pPr>
        <w:pStyle w:val="Heading2"/>
      </w:pPr>
      <w:r>
        <w:t xml:space="preserve">Abstract</w:t>
      </w:r>
    </w:p>
    <w:p>
      <w:pPr>
        <w:pStyle w:val="FirstParagraph"/>
      </w:pPr>
      <w:r>
        <w:t xml:space="preserve">This paper examines the profound transformation of the legal profession within the Kingdom of Saudi Arabia, with a specific focus on Riyadh as the epicenter of this change. As part of Vision 2030, Saudi Arabia is undergoing unprecedented structural reforms aimed at diversifying its economy and enhancing its standing in global commerce. Central to these reforms is the modernization of the judicial system and the redefinition of the role of Lawyer professionals. This study analyzes how legal practitioners in Riyadh are adapting to new commercial laws, arbitration frameworks, and regulatory environments. It argues that the contemporary Lawyer in Saudi Arabia must transition from traditional advisory roles to becoming strategic partners in economic development, ensuring compliance with international standards while respecting local cultural and religious values. The findings suggest that Riyadh has emerged as a hub for legal innovation in the Middle East, driven by digital transformation and institutional independence.</w:t>
      </w:r>
    </w:p>
    <w:p>
      <w:pPr>
        <w:pStyle w:val="BodyText"/>
      </w:pPr>
      <w:r>
        <w:rPr>
          <w:bCs/>
          <w:b/>
        </w:rPr>
        <w:t xml:space="preserve">Keywords:</w:t>
      </w:r>
      <w:r>
        <w:t xml:space="preserve"> </w:t>
      </w:r>
      <w:r>
        <w:t xml:space="preserve">Lawyer, Saudi Arabia Riyadh, Vision 2030, Legal Reform, Commercial Law, Arbitration.</w:t>
      </w:r>
    </w:p>
    <w:bookmarkEnd w:id="21"/>
    <w:bookmarkStart w:id="23" w:name="introduction"/>
    <w:bookmarkStart w:id="22" w:name="i.-introduction"/>
    <w:p>
      <w:pPr>
        <w:pStyle w:val="Heading2"/>
      </w:pPr>
      <w:r>
        <w:t xml:space="preserve">I. Introduction</w:t>
      </w:r>
    </w:p>
    <w:p>
      <w:pPr>
        <w:pStyle w:val="FirstParagraph"/>
      </w:pPr>
      <w:r>
        <w:t xml:space="preserve">The Kingdom of Saudi Arabia stands at a pivotal historical juncture. For decades, the legal landscape was characterized by a reliance on customary practices and religious jurisprudence (Sharia) with less emphasis on codified commercial statutes. However, the launch of Vision 2030 has marked a decisive shift towards a modern, diversified economy that requires robust legal infrastructure. In this context, the</w:t>
      </w:r>
      <w:r>
        <w:t xml:space="preserve"> </w:t>
      </w:r>
      <w:r>
        <w:rPr>
          <w:bCs/>
          <w:b/>
        </w:rPr>
        <w:t xml:space="preserve">Lawyer</w:t>
      </w:r>
      <w:r>
        <w:t xml:space="preserve"> </w:t>
      </w:r>
      <w:r>
        <w:t xml:space="preserve">profession is not merely supporting this change; it is actively driving it.</w:t>
      </w:r>
    </w:p>
    <w:p>
      <w:pPr>
        <w:pStyle w:val="BodyText"/>
      </w:pPr>
      <w:r>
        <w:t xml:space="preserve">Riyadh, the capital and largest city of Saudi Arabia, serves as the primary stage for these developments. As the seat of government ministries, major corporate headquarters, and emerging judicial courts in Riyadh have become more specialized. The city is no longer just an administrative center but a dynamic legal marketplace where international firms are increasingly partnering with local</w:t>
      </w:r>
      <w:r>
        <w:t xml:space="preserve"> </w:t>
      </w:r>
      <w:r>
        <w:rPr>
          <w:bCs/>
          <w:b/>
        </w:rPr>
        <w:t xml:space="preserve">Saudi Arabia Riyadh</w:t>
      </w:r>
      <w:r>
        <w:t xml:space="preserve"> </w:t>
      </w:r>
      <w:r>
        <w:t xml:space="preserve">based practices to navigate complex regulatory frameworks.</w:t>
      </w:r>
    </w:p>
    <w:p>
      <w:pPr>
        <w:pStyle w:val="BodyText"/>
      </w:pPr>
      <w:r>
        <w:t xml:space="preserve">This paper explores the dual nature of this evolution: the preservation of Islamic principles alongside the adoption of international best practices. It highlights how lawyers in Riyadh are bridging these two worlds, facilitating foreign direct investment (FDI), and fostering a business environment that is both transparent and competitive.</w:t>
      </w:r>
    </w:p>
    <w:bookmarkEnd w:id="22"/>
    <w:bookmarkEnd w:id="23"/>
    <w:bookmarkStart w:id="27" w:name="vision-2030-and-legal-reform"/>
    <w:bookmarkStart w:id="26" w:name="X07a9336691b48bac95ad9073b94f1959435042b"/>
    <w:p>
      <w:pPr>
        <w:pStyle w:val="Heading2"/>
      </w:pPr>
      <w:r>
        <w:t xml:space="preserve">II. The Impact of Vision 2030 on the Legal Profession</w:t>
      </w:r>
    </w:p>
    <w:p>
      <w:pPr>
        <w:pStyle w:val="FirstParagraph"/>
      </w:pPr>
      <w:r>
        <w:t xml:space="preserve">Vision 2030 is not just an economic plan; it is a comprehensive social and legal restructuring initiative. For a</w:t>
      </w:r>
      <w:r>
        <w:t xml:space="preserve"> </w:t>
      </w:r>
      <w:r>
        <w:rPr>
          <w:bCs/>
          <w:b/>
        </w:rPr>
        <w:t xml:space="preserve">Lawyer</w:t>
      </w:r>
      <w:r>
        <w:t xml:space="preserve"> </w:t>
      </w:r>
      <w:r>
        <w:t xml:space="preserve">operating in this environment, the implications are vast. The vision aims to reduce dependence on oil, develop public service sectors, and privatize many state-owned enterprises. Each of these actions requires intricate legal drafting, negotiation skills, and regulatory compliance expertise.</w:t>
      </w:r>
    </w:p>
    <w:bookmarkStart w:id="24" w:name="a.-codification-of-laws"/>
    <w:p>
      <w:pPr>
        <w:pStyle w:val="Heading3"/>
      </w:pPr>
      <w:r>
        <w:t xml:space="preserve">A. Codification of Laws</w:t>
      </w:r>
    </w:p>
    <w:p>
      <w:pPr>
        <w:pStyle w:val="FirstParagraph"/>
      </w:pPr>
      <w:r>
        <w:t xml:space="preserve">Historically, Saudi law was uncodified in many commercial areas. Recent years have seen the enactment of new Civil Transactions Law, Companies Law amendments, and Insolvency Law. These codes provide greater predictability for investors and businesses. A modern</w:t>
      </w:r>
      <w:r>
        <w:t xml:space="preserve"> </w:t>
      </w:r>
      <w:r>
        <w:rPr>
          <w:bCs/>
          <w:b/>
        </w:rPr>
        <w:t xml:space="preserve">Lawyer</w:t>
      </w:r>
      <w:r>
        <w:t xml:space="preserve"> </w:t>
      </w:r>
      <w:r>
        <w:t xml:space="preserve">in Saudi Arabia must possess a deep understanding of these codified statutes to effectively advise clients.</w:t>
      </w:r>
    </w:p>
    <w:bookmarkEnd w:id="24"/>
    <w:bookmarkStart w:id="25" w:name="b.-judicial-independence"/>
    <w:p>
      <w:pPr>
        <w:pStyle w:val="Heading3"/>
      </w:pPr>
      <w:r>
        <w:t xml:space="preserve">B. Judicial Independence</w:t>
      </w:r>
    </w:p>
    <w:p>
      <w:pPr>
        <w:pStyle w:val="FirstParagraph"/>
      </w:pPr>
      <w:r>
        <w:t xml:space="preserve">The establishment of specialized courts, including the Commercial Court, Labor Court, and Family Court in Riyadh has streamlined justice delivery. This specialization allows lawyers to develop niche expertise. The move towards greater judicial independence ensures that legal outcomes are more predictable, enhancing the rule of law—a critical factor for international investors.</w:t>
      </w:r>
    </w:p>
    <w:bookmarkEnd w:id="25"/>
    <w:bookmarkEnd w:id="26"/>
    <w:bookmarkEnd w:id="27"/>
    <w:bookmarkStart w:id="32" w:name="riyadh-as-a-legal-hub"/>
    <w:bookmarkStart w:id="31" w:name="Xb852bc2126546178962e4026b786658612112c8"/>
    <w:p>
      <w:pPr>
        <w:pStyle w:val="Heading2"/>
      </w:pPr>
      <w:r>
        <w:t xml:space="preserve">III. Riyadh: The New Legal Hub of the Middle East</w:t>
      </w:r>
    </w:p>
    <w:p>
      <w:pPr>
        <w:pStyle w:val="FirstParagraph"/>
      </w:pPr>
      <w:r>
        <w:t xml:space="preserve">Riyadh is positioning itself as a leading destination for legal services in the region. With the influx of multinational corporations establishing regional headquarters in Riyadh, there is a surge in demand for high-level legal counsel. This has led to several significant trends among lawyers practicing in</w:t>
      </w:r>
      <w:r>
        <w:t xml:space="preserve"> </w:t>
      </w:r>
      <w:r>
        <w:rPr>
          <w:bCs/>
          <w:b/>
        </w:rPr>
        <w:t xml:space="preserve">Saudi Arabia Riyadh</w:t>
      </w:r>
      <w:r>
        <w:t xml:space="preserve">.</w:t>
      </w:r>
    </w:p>
    <w:bookmarkStart w:id="28" w:name="X332b9514cff4043a1567ad3606f5d8be8f0823e"/>
    <w:p>
      <w:pPr>
        <w:pStyle w:val="Heading3"/>
      </w:pPr>
      <w:r>
        <w:t xml:space="preserve">A. Rise of Arbitration and Dispute Resolution</w:t>
      </w:r>
    </w:p>
    <w:p>
      <w:pPr>
        <w:pStyle w:val="FirstParagraph"/>
      </w:pPr>
      <w:r>
        <w:t xml:space="preserve">To support economic growth, there has been a strong push towards Alternative Dispute Resolution (ADR). The Riyadh Regional Arbitration Centre is playing a crucial role in providing neutral venues for commercial disputes. Lawyers are increasingly trained in international arbitration rules, moving away from traditional litigation methods that can be protracted and less predictable.</w:t>
      </w:r>
    </w:p>
    <w:bookmarkEnd w:id="28"/>
    <w:bookmarkStart w:id="29" w:name="b.-digital-transformation"/>
    <w:p>
      <w:pPr>
        <w:pStyle w:val="Heading3"/>
      </w:pPr>
      <w:r>
        <w:t xml:space="preserve">B. Digital Transformation</w:t>
      </w:r>
    </w:p>
    <w:p>
      <w:pPr>
        <w:pStyle w:val="FirstParagraph"/>
      </w:pPr>
      <w:r>
        <w:t xml:space="preserve">The "Digital Riyadh" initiative extends to the legal sector. E-filing systems, virtual court hearings, and blockchain-based contract verification are becoming standard tools for lawyers in Saudi Arabia. This technological adoption improves efficiency and transparency, allowing lawyers to serve clients faster and more securely.</w:t>
      </w:r>
    </w:p>
    <w:bookmarkEnd w:id="29"/>
    <w:bookmarkStart w:id="30" w:name="c.-international-collaboration"/>
    <w:p>
      <w:pPr>
        <w:pStyle w:val="Heading3"/>
      </w:pPr>
      <w:r>
        <w:t xml:space="preserve">C. International Collaboration</w:t>
      </w:r>
    </w:p>
    <w:p>
      <w:pPr>
        <w:pStyle w:val="FirstParagraph"/>
      </w:pPr>
      <w:r>
        <w:t xml:space="preserve">Firms in Riyadh are increasingly engaging in cross-border collaborations. Lawyers here are not only advising on local compliance but also helping Saudi entities expand globally. This two-way flow of legal expertise enhances the reputation of</w:t>
      </w:r>
      <w:r>
        <w:t xml:space="preserve"> </w:t>
      </w:r>
      <w:r>
        <w:rPr>
          <w:bCs/>
          <w:b/>
        </w:rPr>
        <w:t xml:space="preserve">Saudi Arabia Riyadh</w:t>
      </w:r>
      <w:r>
        <w:t xml:space="preserve"> </w:t>
      </w:r>
      <w:r>
        <w:t xml:space="preserve">as a cosmopolitan legal center.</w:t>
      </w:r>
    </w:p>
    <w:bookmarkEnd w:id="30"/>
    <w:bookmarkEnd w:id="31"/>
    <w:bookmarkEnd w:id="32"/>
    <w:bookmarkStart w:id="34" w:name="challenges-and-opportunities"/>
    <w:bookmarkStart w:id="33" w:name="X854ce90dcd441803134c91ec653ea23d432a48a"/>
    <w:p>
      <w:pPr>
        <w:pStyle w:val="Heading2"/>
      </w:pPr>
      <w:r>
        <w:t xml:space="preserve">IV. Challenges and Opportunities for the Modern Lawyer</w:t>
      </w:r>
    </w:p>
    <w:p>
      <w:pPr>
        <w:pStyle w:val="FirstParagraph"/>
      </w:pPr>
      <w:r>
        <w:t xml:space="preserve">The transformation is not without challenges. The legal profession in Saudi Arabia faces hurdles related to talent retention, continuous professional development, and balancing cultural norms with global standards.</w:t>
      </w:r>
    </w:p>
    <w:p>
      <w:pPr>
        <w:numPr>
          <w:ilvl w:val="0"/>
          <w:numId w:val="1001"/>
        </w:numPr>
        <w:pStyle w:val="Compact"/>
      </w:pPr>
      <w:r>
        <w:rPr>
          <w:bCs/>
          <w:b/>
        </w:rPr>
        <w:t xml:space="preserve">Talent Development:</w:t>
      </w:r>
      <w:r>
        <w:t xml:space="preserve"> </w:t>
      </w:r>
      <w:r>
        <w:t xml:space="preserve">There is a pressing need for more specialized training programs for young lawyers. Law faculties in Riyadh are expanding curricula to include corporate law, intellectual property rights (IPR), and technology law.</w:t>
      </w:r>
    </w:p>
    <w:p>
      <w:pPr>
        <w:numPr>
          <w:ilvl w:val="0"/>
          <w:numId w:val="1001"/>
        </w:numPr>
        <w:pStyle w:val="Compact"/>
      </w:pPr>
      <w:r>
        <w:rPr>
          <w:bCs/>
          <w:b/>
        </w:rPr>
        <w:t xml:space="preserve">Cultural Sensitivity:</w:t>
      </w:r>
      <w:r>
        <w:t xml:space="preserve"> </w:t>
      </w:r>
      <w:r>
        <w:t xml:space="preserve">While adopting international practices, lawyers must remain sensitive to the Islamic ethical framework that underpins Saudi society. The role of the Lawyer includes maintaining trust and integrity in a way that resonates with local values.</w:t>
      </w:r>
    </w:p>
    <w:p>
      <w:pPr>
        <w:numPr>
          <w:ilvl w:val="0"/>
          <w:numId w:val="1001"/>
        </w:numPr>
        <w:pStyle w:val="Compact"/>
      </w:pPr>
      <w:r>
        <w:rPr>
          <w:bCs/>
          <w:b/>
        </w:rPr>
        <w:t xml:space="preserve">Data Privacy and Cybersecurity:</w:t>
      </w:r>
      <w:r>
        <w:t xml:space="preserve"> </w:t>
      </w:r>
      <w:r>
        <w:t xml:space="preserve">With digitalization comes new risks. Lawyers must navigate emerging data protection regulations, advising clients on cybersecurity compliance in an increasingly connected economy.</w:t>
      </w:r>
    </w:p>
    <w:bookmarkEnd w:id="33"/>
    <w:bookmarkEnd w:id="34"/>
    <w:bookmarkStart w:id="36" w:name="conclusion"/>
    <w:bookmarkStart w:id="35" w:name="v.-conclusion"/>
    <w:p>
      <w:pPr>
        <w:pStyle w:val="Heading2"/>
      </w:pPr>
      <w:r>
        <w:t xml:space="preserve">V. Conclusion</w:t>
      </w:r>
    </w:p>
    <w:p>
      <w:pPr>
        <w:pStyle w:val="FirstParagraph"/>
      </w:pPr>
      <w:r>
        <w:t xml:space="preserve">The role of the Lawyer in Saudi Arabia is undergoing a renaissance. Driven by the ambitious goals of Vision 2030, legal professionals are evolving from traditional advisors to strategic architects of economic progress. Riyadh, as the heart of this transformation, offers unique opportunities for those willing to adapt and innovate.</w:t>
      </w:r>
    </w:p>
    <w:p>
      <w:pPr>
        <w:pStyle w:val="BodyText"/>
      </w:pPr>
      <w:r>
        <w:t xml:space="preserve">The success of this evolution depends on continuous dialogue between policymakers, legal practitioners, and academic institutions. By embracing modernization while honoring tradition, the</w:t>
      </w:r>
      <w:r>
        <w:t xml:space="preserve"> </w:t>
      </w:r>
      <w:r>
        <w:rPr>
          <w:bCs/>
          <w:b/>
        </w:rPr>
        <w:t xml:space="preserve">Lawyer</w:t>
      </w:r>
      <w:r>
        <w:t xml:space="preserve"> </w:t>
      </w:r>
      <w:r>
        <w:t xml:space="preserve">community in</w:t>
      </w:r>
      <w:r>
        <w:t xml:space="preserve"> </w:t>
      </w:r>
      <w:r>
        <w:rPr>
          <w:bCs/>
          <w:b/>
        </w:rPr>
        <w:t xml:space="preserve">Saudi Arabia Riyadh</w:t>
      </w:r>
      <w:r>
        <w:t xml:space="preserve"> </w:t>
      </w:r>
      <w:r>
        <w:t xml:space="preserve">is not only securing the nation’s future but also contributing to the global legal landscape. As Saudi Arabia continues to open its doors to international business and culture, the demand for sophisticated, ethical, and skilled legal counsel will only grow.</w:t>
      </w:r>
    </w:p>
    <w:p>
      <w:pPr>
        <w:pStyle w:val="BodyText"/>
      </w:pPr>
      <w:r>
        <w:t xml:space="preserve">In conclusion, the modern Lawyer in Riyadh is a key stakeholder in national development. Their ability to navigate complex regulatory environments, leverage technology, and foster international partnerships makes them indispensable to the Kingdom’s vision of becoming a global investment powerhouse. The journey is ongoing, but the trajectory is clear: Saudi Arabia’s legal profession is entering a new era of excellence and influence.</w:t>
      </w:r>
    </w:p>
    <w:bookmarkEnd w:id="35"/>
    <w:bookmarkEnd w:id="36"/>
    <w:bookmarkStart w:id="38" w:name="references"/>
    <w:bookmarkStart w:id="37" w:name="vii.-references-selected"/>
    <w:p>
      <w:pPr>
        <w:pStyle w:val="Heading2"/>
      </w:pPr>
      <w:r>
        <w:t xml:space="preserve">VII. References (Selected)</w:t>
      </w:r>
    </w:p>
    <w:p>
      <w:pPr>
        <w:numPr>
          <w:ilvl w:val="0"/>
          <w:numId w:val="1002"/>
        </w:numPr>
        <w:pStyle w:val="Compact"/>
      </w:pPr>
      <w:r>
        <w:t xml:space="preserve">Kingdom of Saudi Arabia. (2016). Vision 2030 Framework.</w:t>
      </w:r>
    </w:p>
    <w:p>
      <w:pPr>
        <w:numPr>
          <w:ilvl w:val="0"/>
          <w:numId w:val="1002"/>
        </w:numPr>
        <w:pStyle w:val="Compact"/>
      </w:pPr>
      <w:r>
        <w:t xml:space="preserve">Council of Saudi Chambers. (2023). Annual Report on Business Environment and Legal Reforms in Riyadh.</w:t>
      </w:r>
    </w:p>
    <w:p>
      <w:pPr>
        <w:numPr>
          <w:ilvl w:val="0"/>
          <w:numId w:val="1002"/>
        </w:numPr>
        <w:pStyle w:val="Compact"/>
      </w:pPr>
      <w:r>
        <w:t xml:space="preserve">Riyadh Regional Arbitration Centre. (2024). Guidelines for Commercial Arbitration in the Kingdom.</w:t>
      </w:r>
    </w:p>
    <w:p>
      <w:pPr>
        <w:numPr>
          <w:ilvl w:val="0"/>
          <w:numId w:val="1002"/>
        </w:numPr>
        <w:pStyle w:val="Compact"/>
      </w:pPr>
      <w:r>
        <w:t xml:space="preserve">Hassan, A., &amp; Al-Fahad, M. (2023). "The Impact of Codification on Legal Practice in Saudi Arabia." Journal of Middle Eastern Law, 15(2), 45-67.</w:t>
      </w:r>
    </w:p>
    <w:p>
      <w:pPr>
        <w:numPr>
          <w:ilvl w:val="0"/>
          <w:numId w:val="1002"/>
        </w:numPr>
        <w:pStyle w:val="Compact"/>
      </w:pPr>
      <w:r>
        <w:t xml:space="preserve">Saudi Ministry of Justice. (2024). Statistical Report on Judicial Proceedings and E-Legal Services.</w:t>
      </w:r>
    </w:p>
    <w:bookmarkEnd w:id="37"/>
    <w:bookmarkEnd w:id="38"/>
    <w:p>
      <w:pPr>
        <w:pStyle w:val="FirstParagraph"/>
      </w:pPr>
      <w:r>
        <w:t xml:space="preserve">© 2024 Conference Paper on Legal Developments in Saudi Arabia.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Saudi Arabia: Riyadh as a Catalyst for Legal Modernization</dc:title>
  <dc:creator/>
  <dc:language>en</dc:language>
  <cp:keywords/>
  <dcterms:created xsi:type="dcterms:W3CDTF">2026-07-29T13:44:40Z</dcterms:created>
  <dcterms:modified xsi:type="dcterms:W3CDTF">2026-07-29T13:44:40Z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