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Lawyer:</w:t>
      </w:r>
      <w:r>
        <w:t xml:space="preserve"> </w:t>
      </w:r>
      <w:r>
        <w:t xml:space="preserve">Navigating</w:t>
      </w:r>
      <w:r>
        <w:t xml:space="preserve"> </w:t>
      </w:r>
      <w:r>
        <w:t xml:space="preserve">the</w:t>
      </w:r>
      <w:r>
        <w:t xml:space="preserve"> </w:t>
      </w:r>
      <w:r>
        <w:t xml:space="preserve">Complex</w:t>
      </w:r>
      <w:r>
        <w:t xml:space="preserve"> </w:t>
      </w:r>
      <w:r>
        <w:t xml:space="preserve">Legal</w:t>
      </w:r>
      <w:r>
        <w:t xml:space="preserve"> </w:t>
      </w:r>
      <w:r>
        <w:t xml:space="preserve">Landscape</w:t>
      </w:r>
      <w:r>
        <w:t xml:space="preserve"> </w:t>
      </w:r>
      <w:r>
        <w:t xml:space="preserve">of</w:t>
      </w:r>
      <w:r>
        <w:t xml:space="preserve"> </w:t>
      </w:r>
      <w:r>
        <w:t xml:space="preserve">United</w:t>
      </w:r>
      <w:r>
        <w:t xml:space="preserve"> </w:t>
      </w:r>
      <w:r>
        <w:t xml:space="preserve">States</w:t>
      </w:r>
      <w:r>
        <w:t xml:space="preserve"> </w:t>
      </w:r>
      <w:r>
        <w:t xml:space="preserve">Miami</w:t>
      </w:r>
    </w:p>
    <w:bookmarkStart w:id="29" w:name="X1827d77e5e6250dd477ff2a5ba30bb58de45636"/>
    <w:p>
      <w:pPr>
        <w:pStyle w:val="Heading1"/>
      </w:pPr>
      <w:r>
        <w:t xml:space="preserve">The Modern Lawyer: Navigating the Complex Legal Landscape of United States Miami</w:t>
      </w:r>
    </w:p>
    <w:p>
      <w:pPr>
        <w:pStyle w:val="FirstParagraph"/>
      </w:pPr>
      <w:r>
        <w:rPr>
          <w:bCs/>
          <w:b/>
        </w:rPr>
        <w:t xml:space="preserve">J. Doe, Esq.</w:t>
      </w:r>
    </w:p>
    <w:p>
      <w:pPr>
        <w:pStyle w:val="BodyText"/>
      </w:pPr>
      <w:r>
        <w:t xml:space="preserve">Fellow in Law and Urban Policy Studies</w:t>
      </w:r>
    </w:p>
    <w:p>
      <w:pPr>
        <w:pStyle w:val="BodyText"/>
      </w:pPr>
      <w:r>
        <w:t xml:space="preserve">Miami International Bar Association Research Division</w:t>
      </w:r>
    </w:p>
    <w:p>
      <w:pPr>
        <w:pStyle w:val="BodyText"/>
      </w:pPr>
      <w:r>
        <w:t xml:space="preserve">Abstract:</w:t>
      </w:r>
      <w:r>
        <w:t xml:space="preserve">This paper explores the evolving role of the Lawyer within the unique legal and cultural ecosystem of United States Miami. As a global gateway connecting North America with Latin America and the Caribbean, Miami presents distinct challenges for legal practitioners. This document examines how local statutes interact with international commerce, real estate dynamics, and cross-border litigation. It argues that a specialized understanding of transnational law is not merely advantageous but essential for any Lawyer operating effectively in this region.</w:t>
      </w:r>
    </w:p>
    <w:bookmarkStart w:id="20" w:name="introduction"/>
    <w:p>
      <w:pPr>
        <w:pStyle w:val="Heading2"/>
      </w:pPr>
      <w:r>
        <w:t xml:space="preserve">1. Introduction</w:t>
      </w:r>
    </w:p>
    <w:p>
      <w:pPr>
        <w:pStyle w:val="FirstParagraph"/>
      </w:pPr>
      <w:r>
        <w:t xml:space="preserve">The legal profession has always been at the forefront of societal change, adapting to new technologies, demographic shifts, and global events. However, nowhere is this adaptation more critical than in United States Miami (USA). Serving as the de facto capital of international business for Latin America and the Caribbean, Miami boasts a diverse population and a robust economy driven by tourism, finance, healthcare technology ("MedTech"), and real estate. Consequently, the Lawyer operating in this jurisdiction faces a multifaceted environment that requires expertise far beyond traditional domestic legal knowledge.</w:t>
      </w:r>
    </w:p>
    <w:p>
      <w:pPr>
        <w:pStyle w:val="BodyText"/>
      </w:pPr>
      <w:r>
        <w:t xml:space="preserve">This conference paper aims to dissect the specific demands placed on the modern Lawyer in United States Miami. It will analyze three primary pillars of contemporary practice: cross-border commercial transactions, complex real estate developments, and international family law matters. By understanding these pillars, stakeholders in the legal community can better prepare for the future of legal services in this vibrant metropolis.</w:t>
      </w:r>
    </w:p>
    <w:bookmarkEnd w:id="20"/>
    <w:bookmarkStart w:id="21" w:name="the-unique-jurisdictional-landscape"/>
    <w:p>
      <w:pPr>
        <w:pStyle w:val="Heading2"/>
      </w:pPr>
      <w:r>
        <w:t xml:space="preserve">2. The Unique Jurisdictional Landscape</w:t>
      </w:r>
    </w:p>
    <w:p>
      <w:pPr>
        <w:pStyle w:val="FirstParagraph"/>
      </w:pPr>
      <w:r>
        <w:t xml:space="preserve">To understand the Lawyer's role in United States Miami, one must first appreciate its jurisdictional uniqueness. Unlike other major American cities, Miami serves as a hub where international treaties, federal laws of the United States (USA), and local ordinances intersect daily.</w:t>
      </w:r>
    </w:p>
    <w:p>
      <w:pPr>
        <w:pStyle w:val="BodyText"/>
      </w:pPr>
      <w:r>
        <w:rPr>
          <w:bCs/>
          <w:b/>
        </w:rPr>
        <w:t xml:space="preserve">A. International Business Hub</w:t>
      </w:r>
    </w:p>
    <w:p>
      <w:pPr>
        <w:pStyle w:val="BodyText"/>
      </w:pPr>
      <w:r>
        <w:t xml:space="preserve">Miami is home to numerous multinational corporations and financial institutions seeking a foothold in emerging markets. The Lawyer facilitating these entry points must navigate not only U.S. Securities and Exchange Commission (SEC) regulations but also the banking laws of partner countries in South America and Europe. This dual-competency reduces friction in deal-making but requires rigorous continuous education for practitioners.</w:t>
      </w:r>
    </w:p>
    <w:p>
      <w:pPr>
        <w:pStyle w:val="BodyText"/>
      </w:pPr>
      <w:r>
        <w:rPr>
          <w:bCs/>
          <w:b/>
        </w:rPr>
        <w:t xml:space="preserve">B. Cultural Competence</w:t>
      </w:r>
    </w:p>
    <w:p>
      <w:pPr>
        <w:pStyle w:val="BodyText"/>
      </w:pPr>
      <w:r>
        <w:t xml:space="preserve">The demographic fabric of United States Miami is predominantly Hispanic, with significant populations from Cuba, Venezuela, Colombia, Argentina, and Brazil. A competent Lawyer must possess not only linguistic skills but also cultural competence. Understanding the business etiquette and legal expectations of these diverse groups builds trust—a currency as valuable as any statute in litigation or negotiation.</w:t>
      </w:r>
    </w:p>
    <w:bookmarkEnd w:id="21"/>
    <w:bookmarkStart w:id="25" w:name="key-practice-areas"/>
    <w:p>
      <w:pPr>
        <w:pStyle w:val="Heading2"/>
      </w:pPr>
      <w:r>
        <w:t xml:space="preserve">3. Key Practice Areas</w:t>
      </w:r>
    </w:p>
    <w:bookmarkStart w:id="22" w:name="real-estate-and-development"/>
    <w:p>
      <w:pPr>
        <w:pStyle w:val="Heading3"/>
      </w:pPr>
      <w:r>
        <w:t xml:space="preserve">3.1 Real Estate and Development</w:t>
      </w:r>
    </w:p>
    <w:p>
      <w:pPr>
        <w:pStyle w:val="FirstParagraph"/>
      </w:pPr>
      <w:r>
        <w:t xml:space="preserve">The Miami real estate market has seen unprecedented growth, attracting global capital into luxury condominiums, commercial towers, and mixed-use developments. For the Lawyer in United States Miami, this boom presents complex challenges regarding zoning laws, environmental regulations (particularly concerning sea-level rise), and title insurance.</w:t>
      </w:r>
    </w:p>
    <w:p>
      <w:pPr>
        <w:pStyle w:val="BodyText"/>
      </w:pPr>
      <w:r>
        <w:t xml:space="preserve">Furthermore, international buyers often utilize complex holding structures to protect assets. The Lawyer must ensure compliance with anti-money laundering (AML) laws while facilitating smooth closings for non-resident investors. Failure in this area can lead to severe federal penalties, highlighting the stakes involved in even routine transactions.</w:t>
      </w:r>
    </w:p>
    <w:bookmarkEnd w:id="22"/>
    <w:bookmarkStart w:id="23" w:name="cross-border-litigation"/>
    <w:p>
      <w:pPr>
        <w:pStyle w:val="Heading3"/>
      </w:pPr>
      <w:r>
        <w:t xml:space="preserve">3.2 Cross-Border Litigation</w:t>
      </w:r>
    </w:p>
    <w:p>
      <w:pPr>
        <w:pStyle w:val="FirstParagraph"/>
      </w:pPr>
      <w:r>
        <w:t xml:space="preserve">Miami courts frequently handle high-stakes international litigation, including commercial disputes, intellectual property theft across borders, and white-collar crime investigations. The Lawyer representing parties in these cases must be adept at serving process internationally (often via the Hague Service Convention) and enforcing judgments in foreign jurisdictions.</w:t>
      </w:r>
    </w:p>
    <w:p>
      <w:pPr>
        <w:pStyle w:val="BodyText"/>
      </w:pPr>
      <w:r>
        <w:t xml:space="preserve">Recent trends show an increase in fraud-related cases linked to cryptocurrency exchanges based offshore. Lawyers here act as critical intermediaries between local authorities and international blockchain forensics firms, a rapidly evolving field that demands technical literacy alongside legal acumen.</w:t>
      </w:r>
    </w:p>
    <w:bookmarkEnd w:id="23"/>
    <w:bookmarkStart w:id="24" w:name="immigration-and-family-law"/>
    <w:p>
      <w:pPr>
        <w:pStyle w:val="Heading3"/>
      </w:pPr>
      <w:r>
        <w:t xml:space="preserve">3.3 Immigration and Family Law</w:t>
      </w:r>
    </w:p>
    <w:p>
      <w:pPr>
        <w:pStyle w:val="FirstParagraph"/>
      </w:pPr>
      <w:r>
        <w:t xml:space="preserve">The transient nature of United States Miami's population creates a high demand for immigration law services. The Lawyer must assist entrepreneurs in obtaining EB-5 visas, artists on O-1 visas, and families seeking residency or citizenship. This is intricately linked with family law cases involving child custody across international borders.</w:t>
      </w:r>
    </w:p>
    <w:p>
      <w:pPr>
        <w:pStyle w:val="BodyText"/>
      </w:pPr>
      <w:r>
        <w:t xml:space="preserve">Intra-family disputes involving assets held in multiple countries require a sophisticated approach to conflict of laws. A Lawyer failing to account for the Hague Convention on the Civil Aspects of International Child Abduction may find their client facing significant legal hurdles, underscoring the necessity of specialized training in international family law.</w:t>
      </w:r>
    </w:p>
    <w:bookmarkEnd w:id="24"/>
    <w:bookmarkEnd w:id="25"/>
    <w:bookmarkStart w:id="26" w:name="X08f5c752bd520cba5d600aef20424d37e0379b0"/>
    <w:p>
      <w:pPr>
        <w:pStyle w:val="Heading2"/>
      </w:pPr>
      <w:r>
        <w:t xml:space="preserve">4. Ethical Considerations and Professional Responsibility</w:t>
      </w:r>
    </w:p>
    <w:p>
      <w:pPr>
        <w:pStyle w:val="FirstParagraph"/>
      </w:pPr>
      <w:r>
        <w:t xml:space="preserve">The diverse clientele of United States Miami raises profound ethical questions. Conflicts of interest can arise when a Lawyer represents parties from opposing sides in geopolitical disputes or trade wars affecting their respective home countries. The American Bar Association (ABA) Model Rules provide guidance, but local bar associations in Florida emphasize strict adherence to confidentiality standards that may differ slightly from those in New York or California.</w:t>
      </w:r>
    </w:p>
    <w:p>
      <w:pPr>
        <w:pStyle w:val="BodyText"/>
      </w:pPr>
      <w:r>
        <w:t xml:space="preserve">Moreover, the pressure of high-profile cases can tempt some into unethical behavior. Maintaining integrity requires robust internal compliance systems within law firms. The Lawyer must remain vigilant against corruption and bribery laws (such as the Foreign Corrupt Practices Act) that apply extraterritorially to U.S. attorneys practicing in United States Miami.</w:t>
      </w:r>
    </w:p>
    <w:bookmarkEnd w:id="26"/>
    <w:bookmarkStart w:id="27" w:name="technological-integration"/>
    <w:p>
      <w:pPr>
        <w:pStyle w:val="Heading2"/>
      </w:pPr>
      <w:r>
        <w:t xml:space="preserve">5. Technological Integration</w:t>
      </w:r>
    </w:p>
    <w:p>
      <w:pPr>
        <w:pStyle w:val="FirstParagraph"/>
      </w:pPr>
      <w:r>
        <w:t xml:space="preserve">In recent years, technology has transformed how the Lawyer operates in United States Miami. Virtual courts, e-filing systems mandated by Florida state courts, and AI-driven legal research tools have streamlined processes but also increased the expectation for immediate results.</w:t>
      </w:r>
    </w:p>
    <w:p>
      <w:pPr>
        <w:pStyle w:val="BodyText"/>
      </w:pPr>
      <w:r>
        <w:t xml:space="preserve">Miami's MedTech sector offers unique opportunities for Lawyers specializing in intellectual property and healthcare law. Collaborating with tech firms to draft contracts for telemedicine platforms or data privacy agreements (GDPR compliance) requires a Lawyer to understand both legal frameworks and technological architectures. This interdisciplinary approach is becoming the new standard of excellence.</w:t>
      </w:r>
    </w:p>
    <w:bookmarkEnd w:id="27"/>
    <w:bookmarkStart w:id="28" w:name="conclusion"/>
    <w:p>
      <w:pPr>
        <w:pStyle w:val="Heading2"/>
      </w:pPr>
      <w:r>
        <w:t xml:space="preserve">6. Conclusion</w:t>
      </w:r>
    </w:p>
    <w:p>
      <w:pPr>
        <w:pStyle w:val="FirstParagraph"/>
      </w:pPr>
      <w:r>
        <w:t xml:space="preserve">The role of the Lawyer in United States Miami is far more dynamic than in any other American city. It demands a blend of domestic expertise, international fluency, cultural sensitivity, and technological savviness. As global ties strengthen and the economy continues to diversify, the demand for such versatile legal professionals will only grow.</w:t>
      </w:r>
    </w:p>
    <w:p>
      <w:pPr>
        <w:pStyle w:val="BodyText"/>
      </w:pPr>
      <w:r>
        <w:t xml:space="preserve">This paper concludes that law schools and continuing legal education (CLE) programs must prioritize international law courses tailored specifically to the Latin American context. Furthermore, local bar associations should foster more robust mentorship programs connecting seasoned practitioners with new entrants in United States Miami. By investing in human capital, the legal community can ensure it remains at the forefront of justice and commerce on a global scale.</w:t>
      </w:r>
    </w:p>
    <w:p>
      <w:pPr>
        <w:pStyle w:val="BodyText"/>
      </w:pPr>
      <w:r>
        <w:t xml:space="preserve">The Lawyer is not merely an advocate but a bridge-builder. In United States Miami, that bridge spans oceans and cultures, connecting legal systems to foster mutual understanding and economic prosperity. As we move forward, embracing this multifaceted identity will be key to the continued success of the legal profession in this vibrant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Lawyer: Navigating the Complex Legal Landscape of United States Miami</dc:title>
  <dc:creator/>
  <dc:language>en</dc:language>
  <cp:keywords/>
  <dcterms:created xsi:type="dcterms:W3CDTF">2026-07-30T14:56:59Z</dcterms:created>
  <dcterms:modified xsi:type="dcterms:W3CDTF">2026-07-30T14:56:59Z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