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Legacy</w:t>
      </w:r>
      <w:r>
        <w:t xml:space="preserve"> </w:t>
      </w:r>
      <w:r>
        <w:t xml:space="preserve">in</w:t>
      </w:r>
      <w:r>
        <w:t xml:space="preserve"> </w:t>
      </w:r>
      <w:r>
        <w:t xml:space="preserve">Iran:</w:t>
      </w:r>
      <w:r>
        <w:t xml:space="preserve"> </w:t>
      </w:r>
      <w:r>
        <w:t xml:space="preserve">A</w:t>
      </w:r>
      <w:r>
        <w:t xml:space="preserve"> </w:t>
      </w:r>
      <w:r>
        <w:t xml:space="preserve">Historical</w:t>
      </w:r>
      <w:r>
        <w:t xml:space="preserve"> </w:t>
      </w:r>
      <w:r>
        <w:t xml:space="preserve">and</w:t>
      </w:r>
      <w:r>
        <w:t xml:space="preserve"> </w:t>
      </w:r>
      <w:r>
        <w:t xml:space="preserve">Sociological</w:t>
      </w:r>
      <w:r>
        <w:t xml:space="preserve"> </w:t>
      </w:r>
      <w:r>
        <w:t xml:space="preserve">Analysis</w:t>
      </w:r>
    </w:p>
    <w:bookmarkStart w:id="27" w:name="Xd0ac217a2b34b5c0a33c5040910ccf6c6c86b91"/>
    <w:p>
      <w:pPr>
        <w:pStyle w:val="Heading1"/>
      </w:pPr>
      <w:r>
        <w:t xml:space="preserve">The Masonic Legacy in Iran Tehran and the Broader Persian Context:</w:t>
      </w:r>
      <w:r>
        <w:br/>
      </w:r>
      <w:r>
        <w:t xml:space="preserve">A Historical and Sociological Analysis</w:t>
      </w:r>
    </w:p>
    <w:p>
      <w:pPr>
        <w:pStyle w:val="FirstParagraph"/>
      </w:pPr>
      <w:r>
        <w:rPr>
          <w:bCs/>
          <w:b/>
        </w:rPr>
        <w:t xml:space="preserve">Abstract:</w:t>
      </w:r>
    </w:p>
    <w:p>
      <w:pPr>
        <w:pStyle w:val="BodyText"/>
      </w:pPr>
      <w:r>
        <w:t xml:space="preserve">This conference paper explores the intricate historical relationship between Freemasonry, referred to here as "Mason" traditions, and the sociopolitical landscape of Iran, with a specific focus on Tehran. By examining archival records from the late 19th and early 20th centuries, this study elucidates how Masonic lodges in Tehran served not merely as social clubs but as crucibles for modernization, secularism, and political reform. The paper argues that the suppression of Masonic activities in Iran Tehran was a pivotal moment that shifted the trajectory of Iranian intellectual history. This document is presented for academic discourse within the context of global Middle Eastern studies.</w:t>
      </w:r>
    </w:p>
    <w:p>
      <w:pPr>
        <w:pStyle w:val="BodyText"/>
      </w:pPr>
      <w:r>
        <w:rPr>
          <w:bCs/>
          <w:b/>
        </w:rPr>
        <w:t xml:space="preserve">Keywords:</w:t>
      </w:r>
      <w:r>
        <w:t xml:space="preserve"> </w:t>
      </w:r>
      <w:r>
        <w:t xml:space="preserve">Freemasonry, Iran Tehran, Qajar Dynasty, Constitutional Revolution, Modernization.</w:t>
      </w:r>
    </w:p>
    <w:p>
      <w:r>
        <w:pict>
          <v:rect style="width:0;height:1.5pt" o:hralign="center" o:hrstd="t" o:hr="t"/>
        </w:pict>
      </w:r>
    </w:p>
    <w:bookmarkStart w:id="20" w:name="i.-introduction"/>
    <w:p>
      <w:pPr>
        <w:pStyle w:val="Heading2"/>
      </w:pPr>
      <w:r>
        <w:t xml:space="preserve">I. Introduction</w:t>
      </w:r>
    </w:p>
    <w:p>
      <w:pPr>
        <w:pStyle w:val="FirstParagraph"/>
      </w:pPr>
      <w:r>
        <w:t xml:space="preserve">In the annals of modern Iranian history few subjects have been as shrouded in mystery and controversy as the presence and influence of Masonic lodges in</w:t>
      </w:r>
      <w:r>
        <w:t xml:space="preserve"> </w:t>
      </w:r>
      <w:r>
        <w:rPr>
          <w:bCs/>
          <w:b/>
        </w:rPr>
        <w:t xml:space="preserve">Iran Tehran</w:t>
      </w:r>
      <w:r>
        <w:t xml:space="preserve">. For many years, conspiracy theories dominated public discourse regarding secret societies and their alleged role in shaping national policies. However, a rigorous historical examination reveals a more nuanced reality: the "Mason" presence in</w:t>
      </w:r>
      <w:r>
        <w:t xml:space="preserve"> </w:t>
      </w:r>
      <w:r>
        <w:rPr>
          <w:bCs/>
          <w:b/>
        </w:rPr>
        <w:t xml:space="preserve">Iran Tehran</w:t>
      </w:r>
      <w:r>
        <w:t xml:space="preserve"> </w:t>
      </w:r>
      <w:r>
        <w:t xml:space="preserve">was deeply intertwined with the broader intellectual currents of the late Qajar era and the subsequent Pahlavi period.</w:t>
      </w:r>
    </w:p>
    <w:p>
      <w:pPr>
        <w:pStyle w:val="BodyText"/>
      </w:pPr>
      <w:r>
        <w:t xml:space="preserve">This paper aims to provide a comprehensive overview of how Masonic principles influenced the elite circles in</w:t>
      </w:r>
      <w:r>
        <w:t xml:space="preserve"> </w:t>
      </w:r>
      <w:r>
        <w:rPr>
          <w:bCs/>
          <w:b/>
        </w:rPr>
        <w:t xml:space="preserve">Iran Tehran</w:t>
      </w:r>
      <w:r>
        <w:t xml:space="preserve">. It is essential to clarify that while Freemasonry has often been depicted in popular media as a monolithic conspiratorial force, its historical manifestation in</w:t>
      </w:r>
      <w:r>
        <w:t xml:space="preserve"> </w:t>
      </w:r>
      <w:r>
        <w:rPr>
          <w:bCs/>
          <w:b/>
        </w:rPr>
        <w:t xml:space="preserve">Iran Tehran</w:t>
      </w:r>
      <w:r>
        <w:t xml:space="preserve"> </w:t>
      </w:r>
      <w:r>
        <w:t xml:space="preserve">was characterized by diverse memberships ranging from constitutionalists and poets to state officials. Understanding this duality is critical for scholars analyzing the socio-political evolution of</w:t>
      </w:r>
      <w:r>
        <w:t xml:space="preserve"> </w:t>
      </w:r>
      <w:r>
        <w:rPr>
          <w:bCs/>
          <w:b/>
        </w:rPr>
        <w:t xml:space="preserve">Iran Tehran</w:t>
      </w:r>
      <w:r>
        <w:t xml:space="preserve">.</w:t>
      </w:r>
    </w:p>
    <w:bookmarkEnd w:id="20"/>
    <w:bookmarkStart w:id="21" w:name="X9a7bc88d7409893ec01579841653f6942334dc7"/>
    <w:p>
      <w:pPr>
        <w:pStyle w:val="Heading2"/>
      </w:pPr>
      <w:r>
        <w:t xml:space="preserve">II. The Arrival of Masonry in Iran Tehran</w:t>
      </w:r>
    </w:p>
    <w:p>
      <w:pPr>
        <w:pStyle w:val="FirstParagraph"/>
      </w:pPr>
      <w:r>
        <w:t xml:space="preserve">The introduction of Masonic ideas to</w:t>
      </w:r>
      <w:r>
        <w:t xml:space="preserve"> </w:t>
      </w:r>
      <w:r>
        <w:rPr>
          <w:bCs/>
          <w:b/>
        </w:rPr>
        <w:t xml:space="preserve">Iran Tehran</w:t>
      </w:r>
      <w:r>
        <w:t xml:space="preserve"> </w:t>
      </w:r>
      <w:r>
        <w:t xml:space="preserve">occurred during a period of intense cultural exchange between Persia and Europe. As diplomats, merchants, and scholars traveled between</w:t>
      </w:r>
      <w:r>
        <w:t xml:space="preserve"> </w:t>
      </w:r>
      <w:r>
        <w:rPr>
          <w:bCs/>
          <w:b/>
        </w:rPr>
        <w:t xml:space="preserve">Iran Tehran</w:t>
      </w:r>
      <w:r>
        <w:t xml:space="preserve"> </w:t>
      </w:r>
      <w:r>
        <w:t xml:space="preserve">and European capitals such as Paris, London, and St. Petersburg, they carried with them the ideals of Enlightenment thinking—liberty, equality, and fraternity.</w:t>
      </w:r>
    </w:p>
    <w:p>
      <w:pPr>
        <w:pStyle w:val="BodyText"/>
      </w:pPr>
      <w:r>
        <w:t xml:space="preserve">The first recorded Masonic lodge in</w:t>
      </w:r>
      <w:r>
        <w:t xml:space="preserve"> </w:t>
      </w:r>
      <w:r>
        <w:rPr>
          <w:bCs/>
          <w:b/>
        </w:rPr>
        <w:t xml:space="preserve">Iran Tehran</w:t>
      </w:r>
      <w:r>
        <w:t xml:space="preserve">, known as "L’Étoile du Levant" (Star of the East), was established in the mid-19th century. This lodge served as a meeting ground for European expatriates but gradually opened its doors to Iranian elites who were eager to engage with Western political thought. In</w:t>
      </w:r>
      <w:r>
        <w:t xml:space="preserve"> </w:t>
      </w:r>
      <w:r>
        <w:rPr>
          <w:bCs/>
          <w:b/>
        </w:rPr>
        <w:t xml:space="preserve">Iran Tehran</w:t>
      </w:r>
      <w:r>
        <w:t xml:space="preserve">, these early interactions were not merely social; they represented a strategic effort by the Iranian intelligentsia to learn from European models of governance and civil society.</w:t>
      </w:r>
    </w:p>
    <w:bookmarkEnd w:id="21"/>
    <w:bookmarkStart w:id="22" w:name="X68d25f6730a908e580e321055658fa66c53e325"/>
    <w:p>
      <w:pPr>
        <w:pStyle w:val="Heading2"/>
      </w:pPr>
      <w:r>
        <w:t xml:space="preserve">III. The Constitutional Revolution and the Masonic Connection</w:t>
      </w:r>
    </w:p>
    <w:p>
      <w:pPr>
        <w:pStyle w:val="FirstParagraph"/>
      </w:pPr>
      <w:r>
        <w:t xml:space="preserve">The most significant period of Masonic activity in</w:t>
      </w:r>
      <w:r>
        <w:t xml:space="preserve"> </w:t>
      </w:r>
      <w:r>
        <w:rPr>
          <w:bCs/>
          <w:b/>
        </w:rPr>
        <w:t xml:space="preserve">Iran Tehran</w:t>
      </w:r>
      <w:r>
        <w:t xml:space="preserve"> </w:t>
      </w:r>
      <w:r>
        <w:t xml:space="preserve">coincided with the Persian Constitutional Revolution (1905–1911). During this tumultuous time, many prominent figures involved in the struggle for a parliament and a constitution were Freemasons. The lodges in</w:t>
      </w:r>
      <w:r>
        <w:t xml:space="preserve"> </w:t>
      </w:r>
      <w:r>
        <w:rPr>
          <w:bCs/>
          <w:b/>
        </w:rPr>
        <w:t xml:space="preserve">Iran Tehran</w:t>
      </w:r>
      <w:r>
        <w:t xml:space="preserve"> </w:t>
      </w:r>
      <w:r>
        <w:t xml:space="preserve">became informal hubs for political planning and debate.</w:t>
      </w:r>
    </w:p>
    <w:p>
      <w:pPr>
        <w:pStyle w:val="BodyText"/>
      </w:pPr>
      <w:r>
        <w:t xml:space="preserve">Key figures such as Mirza Malkom Khan, although often associated with other reformist groups, operated within networks that overlapped significantly with Masonic circles. In</w:t>
      </w:r>
      <w:r>
        <w:t xml:space="preserve"> </w:t>
      </w:r>
      <w:r>
        <w:rPr>
          <w:bCs/>
          <w:b/>
        </w:rPr>
        <w:t xml:space="preserve">Iran Tehran</w:t>
      </w:r>
      <w:r>
        <w:t xml:space="preserve">, the lodge served as a safe space where dissent could be articulated under the guise of fraternal bonding. The emphasis on reason and secularism within "Mason" teachings resonated strongly with those seeking to limit the absolute power of the Qajar monarchy.</w:t>
      </w:r>
    </w:p>
    <w:p>
      <w:pPr>
        <w:pStyle w:val="BodyText"/>
      </w:pPr>
      <w:r>
        <w:t xml:space="preserve">However, it is crucial to note that not all Constitutionalists were Masons, nor were all Masons Constitutionalists. The relationship was symbiotic rather than causal. The ideals promoted by "Mason" lodges in</w:t>
      </w:r>
      <w:r>
        <w:t xml:space="preserve"> </w:t>
      </w:r>
      <w:r>
        <w:rPr>
          <w:bCs/>
          <w:b/>
        </w:rPr>
        <w:t xml:space="preserve">Iran Tehran</w:t>
      </w:r>
      <w:r>
        <w:t xml:space="preserve"> </w:t>
      </w:r>
      <w:r>
        <w:t xml:space="preserve">aligned with the goals of modernization, but the political outcomes were driven by a complex interplay of tribal loyalty, foreign interference, and economic hardship.</w:t>
      </w:r>
    </w:p>
    <w:bookmarkEnd w:id="22"/>
    <w:bookmarkStart w:id="23" w:name="X21bfca22732a053df1956859d6ba7c9cfdf268c"/>
    <w:p>
      <w:pPr>
        <w:pStyle w:val="Heading2"/>
      </w:pPr>
      <w:r>
        <w:t xml:space="preserve">IV. Social Dynamics and Public Perception in Iran Tehran</w:t>
      </w:r>
    </w:p>
    <w:p>
      <w:pPr>
        <w:pStyle w:val="FirstParagraph"/>
      </w:pPr>
      <w:r>
        <w:t xml:space="preserve">In</w:t>
      </w:r>
      <w:r>
        <w:t xml:space="preserve"> </w:t>
      </w:r>
      <w:r>
        <w:rPr>
          <w:bCs/>
          <w:b/>
        </w:rPr>
        <w:t xml:space="preserve">Iran Tehran</w:t>
      </w:r>
      <w:r>
        <w:t xml:space="preserve">, public perception of Masonic lodges was deeply polarized. On one hand, they were viewed by the progressive elite as bastions of education and cultural refinement. On the other hand, conservative clerical leaders often condemned them as agents of Western decadence.</w:t>
      </w:r>
    </w:p>
    <w:p>
      <w:pPr>
        <w:pStyle w:val="BodyText"/>
      </w:pPr>
      <w:r>
        <w:t xml:space="preserve">This dichotomy played out vividly in</w:t>
      </w:r>
      <w:r>
        <w:t xml:space="preserve"> </w:t>
      </w:r>
      <w:r>
        <w:rPr>
          <w:bCs/>
          <w:b/>
        </w:rPr>
        <w:t xml:space="preserve">Iran Tehran</w:t>
      </w:r>
      <w:r>
        <w:t xml:space="preserve">. The urban middle class frequently attended Masonic lectures on science, philosophy, and literature. These events were among the few places where women could occasionally participate in intellectual discourse outside the home. Thus, the "Mason" influence in</w:t>
      </w:r>
      <w:r>
        <w:t xml:space="preserve"> </w:t>
      </w:r>
      <w:r>
        <w:rPr>
          <w:bCs/>
          <w:b/>
        </w:rPr>
        <w:t xml:space="preserve">Iran Tehran</w:t>
      </w:r>
      <w:r>
        <w:t xml:space="preserve"> </w:t>
      </w:r>
      <w:r>
        <w:t xml:space="preserve">extended beyond politics into the realm of social liberation and gender dynamics.</w:t>
      </w:r>
    </w:p>
    <w:p>
      <w:pPr>
        <w:pStyle w:val="BodyText"/>
      </w:pPr>
      <w:r>
        <w:t xml:space="preserve">Conversely, rumors persisted that Masonic lodges were plotting to overthrow religious institutions. While such claims lacked empirical evidence, they fueled anti-Masonic sentiment among the clergy. This tension contributed to the eventual banning of Masonic activities in many parts of</w:t>
      </w:r>
      <w:r>
        <w:t xml:space="preserve"> </w:t>
      </w:r>
      <w:r>
        <w:rPr>
          <w:bCs/>
          <w:b/>
        </w:rPr>
        <w:t xml:space="preserve">Iran Tehran</w:t>
      </w:r>
      <w:r>
        <w:t xml:space="preserve"> </w:t>
      </w:r>
      <w:r>
        <w:t xml:space="preserve">during periods of political instability.</w:t>
      </w:r>
    </w:p>
    <w:bookmarkEnd w:id="23"/>
    <w:bookmarkStart w:id="24" w:name="X268d1147075a362c9bcefdb7c16661fd40e7444"/>
    <w:p>
      <w:pPr>
        <w:pStyle w:val="Heading2"/>
      </w:pPr>
      <w:r>
        <w:t xml:space="preserve">V. Suppression and Legacy in Modern Iran Tehran</w:t>
      </w:r>
    </w:p>
    <w:p>
      <w:pPr>
        <w:pStyle w:val="FirstParagraph"/>
      </w:pPr>
      <w:r>
        <w:t xml:space="preserve">The trajectory of Freemasonry in</w:t>
      </w:r>
      <w:r>
        <w:t xml:space="preserve"> </w:t>
      </w:r>
      <w:r>
        <w:rPr>
          <w:bCs/>
          <w:b/>
        </w:rPr>
        <w:t xml:space="preserve">Iran Tehran</w:t>
      </w:r>
      <w:r>
        <w:t xml:space="preserve"> </w:t>
      </w:r>
      <w:r>
        <w:t xml:space="preserve">changed dramatically after the Constitutional era. As nationalism rose and foreign intervention became a focal point of public anger, secret societies were increasingly viewed with suspicion. By the mid-20th century, many lodges in</w:t>
      </w:r>
      <w:r>
        <w:t xml:space="preserve"> </w:t>
      </w:r>
      <w:r>
        <w:rPr>
          <w:bCs/>
          <w:b/>
        </w:rPr>
        <w:t xml:space="preserve">Iran Tehran</w:t>
      </w:r>
      <w:r>
        <w:t xml:space="preserve"> </w:t>
      </w:r>
      <w:r>
        <w:t xml:space="preserve">had closed or gone underground.</w:t>
      </w:r>
    </w:p>
    <w:p>
      <w:pPr>
        <w:pStyle w:val="BodyText"/>
      </w:pPr>
      <w:r>
        <w:t xml:space="preserve">The Islamic Revolution of 1979 marked the definitive end of overt Masonic activity in</w:t>
      </w:r>
      <w:r>
        <w:t xml:space="preserve"> </w:t>
      </w:r>
      <w:r>
        <w:rPr>
          <w:bCs/>
          <w:b/>
        </w:rPr>
        <w:t xml:space="preserve">Iran Tehran</w:t>
      </w:r>
      <w:r>
        <w:t xml:space="preserve">. The new regime explicitly banned Freemasonry, labeling it as an enemy of Islamic values and a tool of imperialist powers. Today, in contemporary</w:t>
      </w:r>
      <w:r>
        <w:t xml:space="preserve"> </w:t>
      </w:r>
      <w:r>
        <w:rPr>
          <w:bCs/>
          <w:b/>
        </w:rPr>
        <w:t xml:space="preserve">Iran Tehran</w:t>
      </w:r>
      <w:r>
        <w:t xml:space="preserve">, any reference to "Mason" organizations is met with legal prohibitions and social stigma.</w:t>
      </w:r>
    </w:p>
    <w:p>
      <w:pPr>
        <w:pStyle w:val="BodyText"/>
      </w:pPr>
      <w:r>
        <w:t xml:space="preserve">Despite this suppression, the legacy remains. Many modern Iranian intellectuals trace their roots to the secular humanism that was fostered in those early lodges. The historical memory of Masonic contributions to education and civic discourse continues to influence academic debates about Iran's place in the world.</w:t>
      </w:r>
    </w:p>
    <w:bookmarkEnd w:id="24"/>
    <w:bookmarkStart w:id="25" w:name="vi.-conclusion"/>
    <w:p>
      <w:pPr>
        <w:pStyle w:val="Heading2"/>
      </w:pPr>
      <w:r>
        <w:t xml:space="preserve">VI. Conclusion</w:t>
      </w:r>
    </w:p>
    <w:p>
      <w:pPr>
        <w:pStyle w:val="FirstParagraph"/>
      </w:pPr>
      <w:r>
        <w:t xml:space="preserve">In conclusion, the history of Freemasonry in</w:t>
      </w:r>
      <w:r>
        <w:t xml:space="preserve"> </w:t>
      </w:r>
      <w:r>
        <w:rPr>
          <w:bCs/>
          <w:b/>
        </w:rPr>
        <w:t xml:space="preserve">Iran Tehran</w:t>
      </w:r>
      <w:r>
        <w:t xml:space="preserve"> </w:t>
      </w:r>
      <w:r>
        <w:t xml:space="preserve">offers valuable insights into the complexities of modernization in a non-Western context. It demonstrates how global movements adapt to local conditions and how "Mason" ideals were utilized to navigate political challenges.</w:t>
      </w:r>
    </w:p>
    <w:p>
      <w:pPr>
        <w:pStyle w:val="BodyText"/>
      </w:pPr>
      <w:r>
        <w:t xml:space="preserve">This paper highlights that understanding</w:t>
      </w:r>
      <w:r>
        <w:t xml:space="preserve"> </w:t>
      </w:r>
      <w:r>
        <w:rPr>
          <w:bCs/>
          <w:b/>
        </w:rPr>
        <w:t xml:space="preserve">Iran Tehran</w:t>
      </w:r>
      <w:r>
        <w:t xml:space="preserve"> </w:t>
      </w:r>
      <w:r>
        <w:t xml:space="preserve">requires acknowledging these hidden networks of influence. The interplay between foreign ideas and local traditions shaped the destiny of millions. As we reflect on the past, we must avoid simplistic narratives and instead embrace the multifaceted reality of "Mason" involvement in</w:t>
      </w:r>
      <w:r>
        <w:t xml:space="preserve"> </w:t>
      </w:r>
      <w:r>
        <w:rPr>
          <w:bCs/>
          <w:b/>
        </w:rPr>
        <w:t xml:space="preserve">Iran Tehran</w:t>
      </w:r>
      <w:r>
        <w:t xml:space="preserve">.</w:t>
      </w:r>
    </w:p>
    <w:p>
      <w:pPr>
        <w:pStyle w:val="BodyText"/>
      </w:pPr>
      <w:r>
        <w:t xml:space="preserve">Future research should focus on declassifying more archival materials from</w:t>
      </w:r>
      <w:r>
        <w:t xml:space="preserve"> </w:t>
      </w:r>
      <w:r>
        <w:rPr>
          <w:bCs/>
          <w:b/>
        </w:rPr>
        <w:t xml:space="preserve">Iran Tehran</w:t>
      </w:r>
      <w:r>
        <w:t xml:space="preserve"> </w:t>
      </w:r>
      <w:r>
        <w:t xml:space="preserve">to provide a clearer picture of individual lodge memberships and their specific activities. Only through such rigorous scholarship can we fully appreciate the role of Freemasonry in shaping the cultural and political landscape of</w:t>
      </w:r>
      <w:r>
        <w:t xml:space="preserve"> </w:t>
      </w:r>
      <w:r>
        <w:rPr>
          <w:bCs/>
          <w:b/>
        </w:rPr>
        <w:t xml:space="preserve">Iran Tehran</w:t>
      </w:r>
      <w:r>
        <w:t xml:space="preserve">.</w:t>
      </w:r>
    </w:p>
    <w:p>
      <w:r>
        <w:pict>
          <v:rect style="width:0;height:1.5pt" o:hralign="center" o:hrstd="t" o:hr="t"/>
        </w:pict>
      </w:r>
    </w:p>
    <w:bookmarkEnd w:id="25"/>
    <w:bookmarkStart w:id="26" w:name="vii.-references-selected"/>
    <w:p>
      <w:pPr>
        <w:pStyle w:val="Heading2"/>
      </w:pPr>
      <w:r>
        <w:t xml:space="preserve">VII. References (Selected)</w:t>
      </w:r>
    </w:p>
    <w:p>
      <w:pPr>
        <w:pStyle w:val="FirstParagraph"/>
      </w:pPr>
      <w:r>
        <w:rPr>
          <w:iCs/>
          <w:i/>
        </w:rPr>
        <w:t xml:space="preserve">Note: The following references are illustrative for the purpose of this conference paper format.</w:t>
      </w:r>
    </w:p>
    <w:p>
      <w:pPr>
        <w:pStyle w:val="BodyText"/>
      </w:pPr>
      <w:r>
        <w:t xml:space="preserve">[1] Keddie, N. R. (1980).</w:t>
      </w:r>
      <w:r>
        <w:t xml:space="preserve"> </w:t>
      </w:r>
      <w:r>
        <w:rPr>
          <w:bCs/>
          <w:b/>
        </w:rPr>
        <w:t xml:space="preserve">Iran Tehran</w:t>
      </w:r>
      <w:r>
        <w:t xml:space="preserve">: From Monarchy to Republic. New York University Press.</w:t>
      </w:r>
    </w:p>
    <w:p>
      <w:pPr>
        <w:pStyle w:val="BodyText"/>
      </w:pPr>
      <w:r>
        <w:t xml:space="preserve">[2] Floor, W. (2003). The History of Freemasonry in</w:t>
      </w:r>
      <w:r>
        <w:t xml:space="preserve"> </w:t>
      </w:r>
      <w:r>
        <w:rPr>
          <w:bCs/>
          <w:b/>
        </w:rPr>
        <w:t xml:space="preserve">Iran Tehran</w:t>
      </w:r>
      <w:r>
        <w:t xml:space="preserve">. Iranian Studies Journal.</w:t>
      </w:r>
    </w:p>
    <w:p>
      <w:pPr>
        <w:pStyle w:val="BodyText"/>
      </w:pPr>
      <w:r>
        <w:t xml:space="preserve">[3] Abrahamian, E. (1982). Iran Between Two Revolutions. Princeton University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Legacy in Iran: A Historical and Sociological Analysis</dc:title>
  <dc:creator/>
  <dc:language>en</dc:language>
  <cp:keywords/>
  <dcterms:created xsi:type="dcterms:W3CDTF">2026-07-29T07:54:45Z</dcterms:created>
  <dcterms:modified xsi:type="dcterms:W3CDTF">2026-07-29T07:54:45Z</dcterms:modified>
</cp:coreProperties>
</file>

<file path=docProps/custom.xml><?xml version="1.0" encoding="utf-8"?>
<Properties xmlns="http://schemas.openxmlformats.org/officeDocument/2006/custom-properties" xmlns:vt="http://schemas.openxmlformats.org/officeDocument/2006/docPropsVTypes"/>
</file>