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Modern</w:t>
      </w:r>
      <w:r>
        <w:t xml:space="preserve"> </w:t>
      </w:r>
      <w:r>
        <w:t xml:space="preserve">Knowledge</w:t>
      </w:r>
      <w:r>
        <w:t xml:space="preserve"> </w:t>
      </w:r>
      <w:r>
        <w:t xml:space="preserve">Economy:</w:t>
      </w:r>
      <w:r>
        <w:t xml:space="preserve"> </w:t>
      </w:r>
      <w:r>
        <w:t xml:space="preserve">A</w:t>
      </w:r>
      <w:r>
        <w:t xml:space="preserve"> </w:t>
      </w:r>
      <w:r>
        <w:t xml:space="preserve">Perspective</w:t>
      </w:r>
      <w:r>
        <w:t xml:space="preserve"> </w:t>
      </w:r>
      <w:r>
        <w:t xml:space="preserve">from</w:t>
      </w:r>
      <w:r>
        <w:t xml:space="preserve"> </w:t>
      </w:r>
      <w:r>
        <w:t xml:space="preserve">Kuwait</w:t>
      </w:r>
      <w:r>
        <w:t xml:space="preserve"> </w:t>
      </w:r>
      <w:r>
        <w:t xml:space="preserve">City</w:t>
      </w:r>
    </w:p>
    <w:bookmarkStart w:id="30" w:name="Xc05717c52a5983fd968972ef5c87f21921cdd2c"/>
    <w:p>
      <w:pPr>
        <w:pStyle w:val="Heading1"/>
      </w:pPr>
      <w:r>
        <w:t xml:space="preserve">The Role of the Mathematician in the Modern Knowledge Economy: A Perspective from Kuwait City</w:t>
      </w:r>
    </w:p>
    <w:p>
      <w:pPr>
        <w:pStyle w:val="FirstParagraph"/>
      </w:pPr>
      <w:r>
        <w:rPr>
          <w:bCs/>
          <w:b/>
        </w:rPr>
        <w:t xml:space="preserve">Alexander H. Thorne</w:t>
      </w:r>
      <w:r>
        <w:br/>
      </w:r>
      <w:r>
        <w:t xml:space="preserve">Department of Applied Mathematics</w:t>
      </w:r>
      <w:r>
        <w:br/>
      </w:r>
      <w:r>
        <w:t xml:space="preserve">University of Technology and Innovation</w:t>
      </w:r>
      <w:r>
        <w:br/>
      </w:r>
      <w:r>
        <w:t xml:space="preserve">Kuwait City, State of Kuwait</w:t>
      </w:r>
    </w:p>
    <w:bookmarkStart w:id="20" w:name="abstract"/>
    <w:p>
      <w:pPr>
        <w:pStyle w:val="Heading2"/>
      </w:pPr>
      <w:r>
        <w:t xml:space="preserve">Abstract</w:t>
      </w:r>
    </w:p>
    <w:p>
      <w:pPr>
        <w:pStyle w:val="FirstParagraph"/>
      </w:pPr>
      <w:r>
        <w:t xml:space="preserve">This conference paper explores the evolving role of the mathematician in the 21st-century knowledge economy, with a specific focus on the strategic initiatives unfolding within Kuwait City. As global markets shift toward data-driven decision-making, artificial intelligence, and sustainable resource management, the foundational skills provided by rigorous mathematical training have become indispensable. This paper argues that Kuwait City is not merely a recipient of technological advancement but is emerging as a critical hub for mathematical innovation in the Gulf region. By examining the intersection of academic research, government policy (specifically Kuwait Vision 2035), and industry application, we highlight how the modern mathematician serves as an architect of economic resilience. We conclude with recommendations for fostering stronger collaborations between universities in Kuwait City and international research institutions to elevate the status of pure and applied mathematics.</w:t>
      </w:r>
    </w:p>
    <w:bookmarkEnd w:id="20"/>
    <w:bookmarkStart w:id="21" w:name="introduction"/>
    <w:p>
      <w:pPr>
        <w:pStyle w:val="Heading2"/>
      </w:pPr>
      <w:r>
        <w:t xml:space="preserve">1. Introduction</w:t>
      </w:r>
    </w:p>
    <w:p>
      <w:pPr>
        <w:pStyle w:val="FirstParagraph"/>
      </w:pPr>
      <w:r>
        <w:t xml:space="preserve">The perception of the mathematician has undergone a significant transformation over the last three decades. No longer confined to ivory towers or abstract theoretical discussions, the mathematician today is a pivotal actor in solving complex real-world problems. From optimizing supply chains and modeling climate change to developing cryptographic protocols for digital banking, mathematics is the invisible infrastructure of modern society. This paper aims to contextualize this global trend within a specific local framework: Kuwait City.</w:t>
      </w:r>
    </w:p>
    <w:p>
      <w:pPr>
        <w:pStyle w:val="BodyText"/>
      </w:pPr>
      <w:r>
        <w:t xml:space="preserve">Kuwait City, as the capital and economic heart of the State of Kuwait, stands at a crossroads. Historically dependent on hydrocarbon revenues, the nation is actively pursuing</w:t>
      </w:r>
      <w:r>
        <w:t xml:space="preserve"> </w:t>
      </w:r>
      <w:r>
        <w:rPr>
          <w:bCs/>
          <w:b/>
        </w:rPr>
        <w:t xml:space="preserve">Kuwait Vision 2035</w:t>
      </w:r>
      <w:r>
        <w:t xml:space="preserve">, known as "New Kuwait." This national development plan emphasizes diversification into sectors such as finance, logistics, and information technology. Central to these sectors is the need for robust quantitative analysis, algorithmic efficiency, and statistical modeling. Consequently, the demand for skilled mathematicians in Kuwait City has never been higher. This paper posits that investing in mathematical talent is not just an educational imperative but a national security and economic necessity.</w:t>
      </w:r>
    </w:p>
    <w:bookmarkEnd w:id="21"/>
    <w:bookmarkStart w:id="22" w:name="X7bf520157819fe2deb1309fe237249ac4ade383"/>
    <w:p>
      <w:pPr>
        <w:pStyle w:val="Heading2"/>
      </w:pPr>
      <w:r>
        <w:t xml:space="preserve">2. The Mathematician as a Catalyst for Economic Diversification</w:t>
      </w:r>
    </w:p>
    <w:p>
      <w:pPr>
        <w:pStyle w:val="FirstParagraph"/>
      </w:pPr>
      <w:r>
        <w:t xml:space="preserve">In the context of Kuwait City’s transition away from oil dependency, the mathematician plays a dual role: that of innovator and that of risk analyst. Financial markets, which are increasingly centered in the Sharq district and other financial hubs within Kuwait City, rely heavily on stochastic calculus and probability theory to manage volatility. The modern</w:t>
      </w:r>
      <w:r>
        <w:t xml:space="preserve"> </w:t>
      </w:r>
      <w:r>
        <w:rPr>
          <w:bCs/>
          <w:b/>
        </w:rPr>
        <w:t xml:space="preserve">mathematician</w:t>
      </w:r>
      <w:r>
        <w:t xml:space="preserve"> </w:t>
      </w:r>
      <w:r>
        <w:t xml:space="preserve">provides the tools necessary to price derivatives, assess credit risks, and model portfolio performance.</w:t>
      </w:r>
    </w:p>
    <w:p>
      <w:pPr>
        <w:pStyle w:val="BodyText"/>
      </w:pPr>
      <w:r>
        <w:t xml:space="preserve">Furthermore, as Kuwait City expands its digital infrastructure, cybersecurity becomes paramount. The field of cryptography, rooted in number theory and algebraic structures, is the backbone of secure communications. Mathematicians are essential in developing post-quantum cryptographic standards that will protect national data against future computational threats. By engaging mathematicians in the early stages of policy formulation and technological deployment, Kuwait City can ensure that its digital economy is built on a foundation of rigorous logical verification rather than ad-hoc solutions.</w:t>
      </w:r>
    </w:p>
    <w:bookmarkEnd w:id="22"/>
    <w:bookmarkStart w:id="25" w:name="X08a90d615e7b19643df4cb4080c244ca228c531"/>
    <w:p>
      <w:pPr>
        <w:pStyle w:val="Heading2"/>
      </w:pPr>
      <w:r>
        <w:t xml:space="preserve">3. Education and Research Infrastructure in Kuwait City</w:t>
      </w:r>
    </w:p>
    <w:p>
      <w:pPr>
        <w:pStyle w:val="FirstParagraph"/>
      </w:pPr>
      <w:r>
        <w:t xml:space="preserve">The ecosystem supporting mathematics in Kuwait City has matured significantly. Institutions such as the Kuwait University, the American University of Beirut’s satellite programs, and various specialized technical colleges are producing graduates with strong analytical capabilities. However, a gap remains between undergraduate education and industry requirements.</w:t>
      </w:r>
    </w:p>
    <w:bookmarkStart w:id="23" w:name="bridging-the-gap"/>
    <w:p>
      <w:pPr>
        <w:pStyle w:val="Heading3"/>
      </w:pPr>
      <w:r>
        <w:t xml:space="preserve">3.1 Bridging the Gap</w:t>
      </w:r>
    </w:p>
    <w:p>
      <w:pPr>
        <w:pStyle w:val="FirstParagraph"/>
      </w:pPr>
      <w:r>
        <w:t xml:space="preserve">To address this, there is a pressing need for applied mathematics programs that integrate coding skills (Python, R, MATLAB) with theoretical knowledge. In Kuwait City, where the public sector is a major employer, there is an opportunity to create "Mathematician-in-Residence" programs within government ministries. These roles would allow mathematicians to work directly on policy issues such as urban planning in the capital's rapidly expanding residential areas or optimizing water distribution networks in a desert climate.</w:t>
      </w:r>
    </w:p>
    <w:bookmarkEnd w:id="23"/>
    <w:bookmarkStart w:id="24" w:name="international-collaboration"/>
    <w:p>
      <w:pPr>
        <w:pStyle w:val="Heading3"/>
      </w:pPr>
      <w:r>
        <w:t xml:space="preserve">3.2 International Collaboration</w:t>
      </w:r>
    </w:p>
    <w:p>
      <w:pPr>
        <w:pStyle w:val="FirstParagraph"/>
      </w:pPr>
      <w:r>
        <w:t xml:space="preserve">Kuwait City is uniquely positioned to serve as a bridge between Eastern and Western academic traditions. The city hosts numerous international conferences and diplomatic missions, fostering an environment conducive to global collaboration. By leveraging this geopolitical position, local universities can partner with leading mathematical institutes in Europe, North America, and Asia. Such collaborations will not only enhance the quality of research but also provide Kuwaiti mathematicians with exposure to cutting-edge methodologies.</w:t>
      </w:r>
    </w:p>
    <w:bookmarkEnd w:id="24"/>
    <w:bookmarkEnd w:id="25"/>
    <w:bookmarkStart w:id="26" w:name="case-studies-mathematics-in-action"/>
    <w:p>
      <w:pPr>
        <w:pStyle w:val="Heading2"/>
      </w:pPr>
      <w:r>
        <w:t xml:space="preserve">4. Case Studies: Mathematics in Action</w:t>
      </w:r>
    </w:p>
    <w:p>
      <w:pPr>
        <w:pStyle w:val="FirstParagraph"/>
      </w:pPr>
      <w:r>
        <w:t xml:space="preserve">To illustrate the practical impact of the mathematician in Kuwait City, we examine two emerging sectors:</w:t>
      </w:r>
    </w:p>
    <w:p>
      <w:pPr>
        <w:numPr>
          <w:ilvl w:val="0"/>
          <w:numId w:val="1001"/>
        </w:numPr>
        <w:pStyle w:val="Compact"/>
      </w:pPr>
      <w:r>
        <w:rPr>
          <w:bCs/>
          <w:b/>
        </w:rPr>
        <w:t xml:space="preserve">Smart City Initiatives:</w:t>
      </w:r>
      <w:r>
        <w:t xml:space="preserve"> </w:t>
      </w:r>
      <w:r>
        <w:t xml:space="preserve">The implementation of IoT (Internet of Things) devices across Kuwait City requires sophisticated data aggregation and analysis. Mathematicians are designing algorithms that process real-time traffic data to reduce congestion in high-traffic zones like Shuwaikh Port and Salmiya.</w:t>
      </w:r>
    </w:p>
    <w:p>
      <w:pPr>
        <w:numPr>
          <w:ilvl w:val="0"/>
          <w:numId w:val="1001"/>
        </w:numPr>
        <w:pStyle w:val="Compact"/>
      </w:pPr>
      <w:r>
        <w:rPr>
          <w:bCs/>
          <w:b/>
        </w:rPr>
        <w:t xml:space="preserve">Sustainable Energy Modeling:</w:t>
      </w:r>
      <w:r>
        <w:t xml:space="preserve"> </w:t>
      </w:r>
      <w:r>
        <w:t xml:space="preserve">As the country invests in solar energy projects, mathematicians are utilizing differential equations to model energy absorption rates and grid stability. This research is critical for integrating renewable sources into the national grid without compromising reliability.</w:t>
      </w:r>
    </w:p>
    <w:bookmarkEnd w:id="26"/>
    <w:bookmarkStart w:id="27" w:name="challenges-and-future-directions"/>
    <w:p>
      <w:pPr>
        <w:pStyle w:val="Heading2"/>
      </w:pPr>
      <w:r>
        <w:t xml:space="preserve">5. Challenges and Future Directions</w:t>
      </w:r>
    </w:p>
    <w:p>
      <w:pPr>
        <w:pStyle w:val="FirstParagraph"/>
      </w:pPr>
      <w:r>
        <w:t xml:space="preserve">Despite the progress, challenges remain. There is a cultural tendency in some circles to view mathematics as purely academic rather than vocational. Changing this narrative requires proactive outreach by the mathematical community in Kuwait City to demonstrate tangible outcomes of their work.</w:t>
      </w:r>
    </w:p>
    <w:p>
      <w:pPr>
        <w:pStyle w:val="BodyText"/>
      </w:pPr>
      <w:r>
        <w:t xml:space="preserve">Additionally, brain drain remains a concern. Many talented young mathematicians seek opportunities abroad due to limited research funding or industry positions locally. To combat this, the government must increase grants for pure and applied mathematics research and incentivize private sector investment in R&amp;D departments that utilize mathematical expertise.</w:t>
      </w:r>
    </w:p>
    <w:bookmarkEnd w:id="27"/>
    <w:bookmarkStart w:id="28" w:name="conclusion"/>
    <w:p>
      <w:pPr>
        <w:pStyle w:val="Heading2"/>
      </w:pPr>
      <w:r>
        <w:t xml:space="preserve">6. Conclusion</w:t>
      </w:r>
    </w:p>
    <w:p>
      <w:pPr>
        <w:pStyle w:val="FirstParagraph"/>
      </w:pPr>
      <w:r>
        <w:t xml:space="preserve">The trajectory of Kuwait City’s development is inextricably linked to its ability to harness data and logic. The mathematician, therefore, is not a peripheral figure but a central stakeholder in the nation’s future. By recognizing the value of mathematical thinking and supporting rigorous training programs, Kuwait City can solidify its position as a knowledge-based economy hub in the Middle East.</w:t>
      </w:r>
    </w:p>
    <w:p>
      <w:pPr>
        <w:pStyle w:val="BodyText"/>
      </w:pPr>
      <w:r>
        <w:t xml:space="preserve">We call upon policymakers, academic leaders, and industry stakeholders to prioritize mathematics in their strategic planning. The next decade will define whether Kuwait City remains a consumer of technology or becomes a producer of mathematical innovation. The choice is clear: invest in the mathematician, invest in the future.</w:t>
      </w:r>
    </w:p>
    <w:bookmarkEnd w:id="28"/>
    <w:bookmarkStart w:id="29" w:name="references"/>
    <w:p>
      <w:pPr>
        <w:pStyle w:val="Heading2"/>
      </w:pPr>
      <w:r>
        <w:t xml:space="preserve">References</w:t>
      </w:r>
    </w:p>
    <w:p>
      <w:pPr>
        <w:numPr>
          <w:ilvl w:val="0"/>
          <w:numId w:val="1002"/>
        </w:numPr>
        <w:pStyle w:val="Compact"/>
      </w:pPr>
      <w:r>
        <w:t xml:space="preserve">Kuwait Vision 2035. (2019).</w:t>
      </w:r>
      <w:r>
        <w:t xml:space="preserve"> </w:t>
      </w:r>
      <w:r>
        <w:rPr>
          <w:iCs/>
          <w:i/>
        </w:rPr>
        <w:t xml:space="preserve">New Kuwait National Plan for Development</w:t>
      </w:r>
      <w:r>
        <w:t xml:space="preserve">. Public Authority for Applied Education and Training.</w:t>
      </w:r>
    </w:p>
    <w:p>
      <w:pPr>
        <w:numPr>
          <w:ilvl w:val="0"/>
          <w:numId w:val="1002"/>
        </w:numPr>
        <w:pStyle w:val="Compact"/>
      </w:pPr>
      <w:r>
        <w:t xml:space="preserve">Goyal, R. &amp; Al-Mutairi, S. (2021). "Digital Transformation in Gulf Cities: The Role of Quantitative Skills."</w:t>
      </w:r>
      <w:r>
        <w:t xml:space="preserve"> </w:t>
      </w:r>
      <w:r>
        <w:rPr>
          <w:iCs/>
          <w:i/>
        </w:rPr>
        <w:t xml:space="preserve">Journal of Middle Eastern Economic Studies</w:t>
      </w:r>
      <w:r>
        <w:t xml:space="preserve">, 14(3), 45-67.</w:t>
      </w:r>
    </w:p>
    <w:p>
      <w:pPr>
        <w:numPr>
          <w:ilvl w:val="0"/>
          <w:numId w:val="1002"/>
        </w:numPr>
        <w:pStyle w:val="Compact"/>
      </w:pPr>
      <w:r>
        <w:t xml:space="preserve">National Institute for Mathematical and Applied Sciences. (2022).</w:t>
      </w:r>
      <w:r>
        <w:t xml:space="preserve"> </w:t>
      </w:r>
      <w:r>
        <w:rPr>
          <w:iCs/>
          <w:i/>
        </w:rPr>
        <w:t xml:space="preserve">Status of Mathematics Education in Kuwait City</w:t>
      </w:r>
      <w:r>
        <w:t xml:space="preserve">. Annual Report.</w:t>
      </w:r>
    </w:p>
    <w:p>
      <w:pPr>
        <w:numPr>
          <w:ilvl w:val="0"/>
          <w:numId w:val="1002"/>
        </w:numPr>
        <w:pStyle w:val="Compact"/>
      </w:pPr>
      <w:r>
        <w:t xml:space="preserve">Turing, A. M. (1950). "Computing Machinery and Intelligence."</w:t>
      </w:r>
      <w:r>
        <w:t xml:space="preserve"> </w:t>
      </w:r>
      <w:r>
        <w:rPr>
          <w:iCs/>
          <w:i/>
        </w:rPr>
        <w:t xml:space="preserve">Mind</w:t>
      </w:r>
      <w:r>
        <w:t xml:space="preserve">, 59(236), 433-460. [Referenced for foundational context on computational mathematics].</w:t>
      </w:r>
    </w:p>
    <w:p>
      <w:pPr>
        <w:pStyle w:val="FirstParagraph"/>
      </w:pPr>
      <w:r>
        <w:rPr>
          <w:bCs/>
          <w:b/>
        </w:rPr>
        <w:t xml:space="preserve">Conference Paper Submission ID:</w:t>
      </w:r>
      <w:r>
        <w:t xml:space="preserve"> </w:t>
      </w:r>
      <w:r>
        <w:t xml:space="preserve">KWT-MATH-2024-089</w:t>
      </w:r>
      <w:r>
        <w:br/>
      </w:r>
      <w:r>
        <w:rPr>
          <w:bCs/>
          <w:b/>
        </w:rPr>
        <w:t xml:space="preserve">Date of Publication:</w:t>
      </w:r>
      <w:r>
        <w:t xml:space="preserve"> </w:t>
      </w:r>
      <w:r>
        <w:t xml:space="preserve">October 2024</w:t>
      </w:r>
      <w:r>
        <w:br/>
      </w:r>
      <w:r>
        <w:rPr>
          <w:iCs/>
          <w:i/>
        </w:rPr>
        <w:t xml:space="preserve">This document is intended for academic and professional dissemination within the Kuwait City mathematical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Modern Knowledge Economy: A Perspective from Kuwait City</dc:title>
  <dc:creator/>
  <dc:language>en</dc:language>
  <cp:keywords/>
  <dcterms:created xsi:type="dcterms:W3CDTF">2026-07-29T16:05:15Z</dcterms:created>
  <dcterms:modified xsi:type="dcterms:W3CDTF">2026-07-29T16:05:15Z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