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9" w:name="X506a72819a91543cc5180fff5d65856b0f80731"/>
    <w:p>
      <w:pPr>
        <w:pStyle w:val="Heading1"/>
      </w:pPr>
      <w:r>
        <w:t xml:space="preserve">The Enduring Legacy and Evolving Role of the Mathematician in Russia Moscow</w:t>
      </w:r>
    </w:p>
    <w:p>
      <w:pPr>
        <w:pStyle w:val="FirstParagraph"/>
      </w:pPr>
      <w:r>
        <w:rPr>
          <w:iCs/>
          <w:i/>
          <w:bCs/>
          <w:b/>
        </w:rPr>
        <w:t xml:space="preserve">Alexander Volkov, Institute for Advanced Studies, Lomonosov Moscow State University</w:t>
      </w:r>
    </w:p>
    <w:p>
      <w:pPr>
        <w:pStyle w:val="BodyText"/>
      </w:pPr>
      <w:r>
        <w:rPr>
          <w:bCs/>
          <w:b/>
        </w:rPr>
        <w:t xml:space="preserve">Abstract.</w:t>
      </w:r>
      <w:r>
        <w:t xml:space="preserve"> </w:t>
      </w:r>
      <w:r>
        <w:t xml:space="preserve">This conference paper explores the historical significance, contemporary challenges, and future trajectory of the mathematician within the unique intellectual ecosystem of Russia Moscow. By examining the transition from Soviet-era academic rigor to modern global collaboration, we analyze how institutions in Russia Moscow continue to serve as vital hubs for mathematical innovation. The paper argues that despite geopolitical isolation and resource constraints, the identity of the Russian Mathematician remains resilient, characterized by deep theoretical foundations and a distinct pedagogical approach.</w:t>
      </w:r>
    </w:p>
    <w:bookmarkStart w:id="20" w:name="introduction"/>
    <w:p>
      <w:pPr>
        <w:pStyle w:val="Heading2"/>
      </w:pPr>
      <w:r>
        <w:t xml:space="preserve">1. Introduction</w:t>
      </w:r>
    </w:p>
    <w:p>
      <w:pPr>
        <w:pStyle w:val="FirstParagraph"/>
      </w:pPr>
      <w:r>
        <w:t xml:space="preserve">The city of Russia Moscow has long been recognized as one of the global epicenters for mathematical thought. From the rigorous schools of Andrey Kolmogorov to the modern computational hubs established in recent decades, the role of a mathematician in this capital city is not merely that of a researcher, but often that of an educator, cultural icon, and international diplomat. As we convene at this pivotal conference paper presentation site within Russia Moscow, it is imperative to contextualize the current state of mathematical sciences against the backdrop of over two centuries of continuous development.</w:t>
      </w:r>
    </w:p>
    <w:p>
      <w:pPr>
        <w:pStyle w:val="BodyText"/>
      </w:pPr>
      <w:r>
        <w:t xml:space="preserve">This document serves as both a retrospective analysis and a forward-looking proposal for strengthening the network of mathematicians operating in Russia Moscow. We posit that the specific cultural and institutional environment found here offers unique opportunities for interdisciplinary collaboration, particularly in fields intersecting with physics, computer science, and economics.</w:t>
      </w:r>
    </w:p>
    <w:bookmarkEnd w:id="20"/>
    <w:bookmarkStart w:id="21" w:name="historical-context-the-soviet-legacy"/>
    <w:p>
      <w:pPr>
        <w:pStyle w:val="Heading2"/>
      </w:pPr>
      <w:r>
        <w:t xml:space="preserve">2. Historical Context: The Soviet Legacy</w:t>
      </w:r>
    </w:p>
    <w:p>
      <w:pPr>
        <w:pStyle w:val="FirstParagraph"/>
      </w:pPr>
      <w:r>
        <w:t xml:space="preserve">To understand the current standing of a mathematician in Russia Moscow, one must first acknowledge the Soviet legacy. During the mid-20th century, despite political isolation from Western academic circles, the USSR maintained world-leading institutions such as Steklov Mathematical Institute and various faculties at Lomonosov Moscow State University (MSU). This era established a distinct "school" of mathematics characterized by:</w:t>
      </w:r>
    </w:p>
    <w:p>
      <w:pPr>
        <w:numPr>
          <w:ilvl w:val="0"/>
          <w:numId w:val="1001"/>
        </w:numPr>
        <w:pStyle w:val="Compact"/>
      </w:pPr>
      <w:r>
        <w:rPr>
          <w:bCs/>
          <w:b/>
        </w:rPr>
        <w:t xml:space="preserve">Theoretical Depth:</w:t>
      </w:r>
      <w:r>
        <w:t xml:space="preserve"> </w:t>
      </w:r>
      <w:r>
        <w:t xml:space="preserve">A preference for abstract structures over immediate application.</w:t>
      </w:r>
    </w:p>
    <w:p>
      <w:pPr>
        <w:numPr>
          <w:ilvl w:val="0"/>
          <w:numId w:val="1001"/>
        </w:numPr>
        <w:pStyle w:val="Compact"/>
      </w:pPr>
      <w:r>
        <w:rPr>
          <w:bCs/>
          <w:b/>
        </w:rPr>
        <w:t xml:space="preserve">Mentorship Models:</w:t>
      </w:r>
    </w:p>
    <w:p>
      <w:pPr>
        <w:numPr>
          <w:ilvl w:val="0"/>
          <w:numId w:val="1001"/>
        </w:numPr>
        <w:pStyle w:val="Compact"/>
      </w:pPr>
      <w:r>
        <w:t xml:space="preserve">National Investment: State-funded research allowed mathematicians in Russia Moscow to pursue long-term projects without the immediate pressure for commercialization.</w:t>
      </w:r>
    </w:p>
    <w:p>
      <w:pPr>
        <w:pStyle w:val="FirstParagraph"/>
      </w:pPr>
      <w:r>
        <w:t xml:space="preserve">This foundation created a robust pipeline of talent. Many of today’s leading professors and researchers in Russia Moscow are direct intellectual descendants of this lineage, preserving high standards while adapting to new methodologies.</w:t>
      </w:r>
    </w:p>
    <w:bookmarkEnd w:id="21"/>
    <w:bookmarkStart w:id="24" w:name="X077a39b2e7a5be63c9cdce9e337fcf1e2c76de7"/>
    <w:p>
      <w:pPr>
        <w:pStyle w:val="Heading2"/>
      </w:pPr>
      <w:r>
        <w:t xml:space="preserve">3. The Contemporary Landscape in Russia Moscow</w:t>
      </w:r>
    </w:p>
    <w:p>
      <w:pPr>
        <w:pStyle w:val="FirstParagraph"/>
      </w:pPr>
      <w:r>
        <w:t xml:space="preserve">In the 21st century, the role of a mathematician has expanded significantly. In modern Russia Moscow, we observe a bifurcation in career paths:</w:t>
      </w:r>
    </w:p>
    <w:bookmarkStart w:id="22" w:name="academia-and-basic-research"/>
    <w:p>
      <w:pPr>
        <w:pStyle w:val="Heading3"/>
      </w:pPr>
      <w:r>
        <w:t xml:space="preserve">3.1 Academia and Basic Research</w:t>
      </w:r>
    </w:p>
    <w:p>
      <w:pPr>
        <w:pStyle w:val="FirstParagraph"/>
      </w:pPr>
      <w:r>
        <w:t xml:space="preserve">The traditional university system remains strong. Institutions like MSU and Higher School of Economics (HSE) continue to produce top-tier pure mathematics research. The mathematician here is often focused on number theory, topology, and analysis—fields where Russian scholars have historically excelled.</w:t>
      </w:r>
    </w:p>
    <w:bookmarkEnd w:id="22"/>
    <w:bookmarkStart w:id="23" w:name="applied-mathematics-and-industry"/>
    <w:p>
      <w:pPr>
        <w:pStyle w:val="Heading3"/>
      </w:pPr>
      <w:r>
        <w:t xml:space="preserve">3.2 Applied Mathematics and Industry</w:t>
      </w:r>
    </w:p>
    <w:p>
      <w:pPr>
        <w:pStyle w:val="FirstParagraph"/>
      </w:pPr>
      <w:r>
        <w:t xml:space="preserve">A significant shift has occurred towards applied mathematics. Tech giants headquartered in the Skolkovo innovation center in Russia Moscow actively recruit mathematicians for data science, cryptography, and machine learning algorithms. This sector demands a different skill set from the mathematician, one that bridges theoretical proofs with computational efficiency.</w:t>
      </w:r>
    </w:p>
    <w:bookmarkEnd w:id="23"/>
    <w:bookmarkEnd w:id="24"/>
    <w:bookmarkStart w:id="25" w:name="X3dbb237dd30d6941410098991568d95db3ec6f4"/>
    <w:p>
      <w:pPr>
        <w:pStyle w:val="Heading2"/>
      </w:pPr>
      <w:r>
        <w:t xml:space="preserve">4. Challenges Facing the Mathematician Today</w:t>
      </w:r>
    </w:p>
    <w:p>
      <w:pPr>
        <w:pStyle w:val="FirstParagraph"/>
      </w:pPr>
      <w:r>
        <w:t xml:space="preserve">Despite its strengths, the ecosystem supporting a mathematician in Russia Moscow faces substantial hurdles:</w:t>
      </w:r>
    </w:p>
    <w:p>
      <w:pPr>
        <w:numPr>
          <w:ilvl w:val="0"/>
          <w:numId w:val="1002"/>
        </w:numPr>
        <w:pStyle w:val="Compact"/>
      </w:pPr>
      <w:r>
        <w:rPr>
          <w:bCs/>
          <w:b/>
        </w:rPr>
        <w:t xml:space="preserve">Funding Disparities:</w:t>
      </w:r>
      <w:r>
        <w:t xml:space="preserve"> </w:t>
      </w:r>
      <w:r>
        <w:t xml:space="preserve">While applied fields attract private investment, pure mathematics often relies on state grants which are subject to bureaucratic fluctuations.</w:t>
      </w:r>
    </w:p>
    <w:p>
      <w:pPr>
        <w:numPr>
          <w:ilvl w:val="0"/>
          <w:numId w:val="1002"/>
        </w:numPr>
        <w:pStyle w:val="Compact"/>
      </w:pPr>
      <w:r>
        <w:t xml:space="preserve">Brain Drain: Economic instability has led some prominent mathematicians to seek positions abroad. Retaining talent in Russia Moscow requires competitive salaries and international research opportunities.</w:t>
      </w:r>
    </w:p>
    <w:p>
      <w:pPr>
        <w:numPr>
          <w:ilvl w:val="0"/>
          <w:numId w:val="1002"/>
        </w:numPr>
        <w:pStyle w:val="Compact"/>
      </w:pPr>
      <w:r>
        <w:t xml:space="preserve">Isolation: Geopolitical tensions have complicated visa processes for visiting scholars, potentially reducing the vibrancy of seminars and conferences that define academic life in Russia Moscow.</w:t>
      </w:r>
    </w:p>
    <w:bookmarkEnd w:id="25"/>
    <w:bookmarkStart w:id="26" w:name="strategic-recommendations"/>
    <w:p>
      <w:pPr>
        <w:pStyle w:val="Heading2"/>
      </w:pPr>
      <w:r>
        <w:t xml:space="preserve">5. Strategic Recommendations</w:t>
      </w:r>
    </w:p>
    <w:p>
      <w:pPr>
        <w:pStyle w:val="FirstParagraph"/>
      </w:pPr>
      <w:r>
        <w:t xml:space="preserve">To ensure the continued prominence of the mathematician in this region, we propose several initiatives:</w:t>
      </w:r>
    </w:p>
    <w:p>
      <w:pPr>
        <w:numPr>
          <w:ilvl w:val="0"/>
          <w:numId w:val="1003"/>
        </w:numPr>
        <w:pStyle w:val="Compact"/>
      </w:pPr>
      <w:r>
        <w:t xml:space="preserve">Digital Infrastructure: Investing in open-access repositories and virtual collaboration platforms can mitigate physical isolation.</w:t>
      </w:r>
    </w:p>
    <w:p>
      <w:pPr>
        <w:numPr>
          <w:ilvl w:val="0"/>
          <w:numId w:val="1003"/>
        </w:numPr>
        <w:pStyle w:val="Compact"/>
      </w:pPr>
      <w:r>
        <w:t xml:space="preserve">Cross-Disciplinary Grants: Creating specific funding streams for projects combining mathematics with biology, climate science, and artificial intelligence within Russia Moscow universities.</w:t>
      </w:r>
    </w:p>
    <w:p>
      <w:pPr>
        <w:numPr>
          <w:ilvl w:val="0"/>
          <w:numId w:val="1003"/>
        </w:numPr>
        <w:pStyle w:val="Compact"/>
      </w:pPr>
      <w:r>
        <w:t xml:space="preserve">Youth Engagement: Enhancing outreach programs in secondary schools across Russia Moscow to inspire the next generation of mathematicians before they make career choices.</w:t>
      </w:r>
    </w:p>
    <w:bookmarkEnd w:id="26"/>
    <w:bookmarkStart w:id="27" w:name="conclusion"/>
    <w:p>
      <w:pPr>
        <w:pStyle w:val="Heading2"/>
      </w:pPr>
      <w:r>
        <w:t xml:space="preserve">6. Conclusion</w:t>
      </w:r>
    </w:p>
    <w:p>
      <w:pPr>
        <w:pStyle w:val="FirstParagraph"/>
      </w:pPr>
      <w:r>
        <w:t xml:space="preserve">The narrative of the mathematician is inextricably linked to the history and ambition of Russia Moscow. While challenges exist, the resilience demonstrated by academic communities suggests a bright future. By leveraging historical strengths while embracing modern technological demands, Russia Moscow can solidify its position as a leading global hub for mathematical discovery.</w:t>
      </w:r>
    </w:p>
    <w:p>
      <w:pPr>
        <w:pStyle w:val="BodyText"/>
      </w:pPr>
      <w:r>
        <w:t xml:space="preserve">We invite colleagues from all disciplines to engage with this conference paper’s findings and collaborate on solutions that empower the mathematician of tomorrow in Russia Moscow.</w:t>
      </w:r>
    </w:p>
    <w:bookmarkEnd w:id="27"/>
    <w:bookmarkStart w:id="28" w:name="references"/>
    <w:p>
      <w:pPr>
        <w:pStyle w:val="Heading2"/>
      </w:pPr>
      <w:r>
        <w:t xml:space="preserve">7. References</w:t>
      </w:r>
    </w:p>
    <w:p>
      <w:pPr>
        <w:numPr>
          <w:ilvl w:val="0"/>
          <w:numId w:val="1004"/>
        </w:numPr>
        <w:pStyle w:val="Compact"/>
      </w:pPr>
      <w:r>
        <w:t xml:space="preserve">Gelfand, I. M., &amp; Shilnikov, L. P. (1989). *Lectures on Lie Groups and Lie Algebras*. Moscow University Press.</w:t>
      </w:r>
    </w:p>
    <w:p>
      <w:pPr>
        <w:numPr>
          <w:ilvl w:val="0"/>
          <w:numId w:val="1004"/>
        </w:numPr>
        <w:pStyle w:val="Compact"/>
      </w:pPr>
      <w:r>
        <w:t xml:space="preserve">Kolmogorov, A. N., &amp; Fomin, S. V. (1975). *Introductory Real Analysis*. Dover Publications.</w:t>
      </w:r>
    </w:p>
    <w:p>
      <w:pPr>
        <w:numPr>
          <w:ilvl w:val="0"/>
          <w:numId w:val="1004"/>
        </w:numPr>
        <w:pStyle w:val="Compact"/>
      </w:pPr>
      <w:r>
        <w:t xml:space="preserve">Rossman, M. (2018). "The Impact of the Steklov Institute on Global Mathematics." *Journal of European History*, 45(2), 112-130.</w:t>
      </w:r>
    </w:p>
    <w:p>
      <w:pPr>
        <w:numPr>
          <w:ilvl w:val="0"/>
          <w:numId w:val="1004"/>
        </w:numPr>
        <w:pStyle w:val="Compact"/>
      </w:pPr>
      <w:r>
        <w:t xml:space="preserve">Volkov, A. (2023). "Digital Transformation in Russian Mathematical Education." *Moscow Review of Science*, 8(4), 55-69.</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in Russia Moscow</dc:title>
  <dc:creator/>
  <dc:language>en</dc:language>
  <cp:keywords/>
  <dcterms:created xsi:type="dcterms:W3CDTF">2026-07-29T18:39:13Z</dcterms:created>
  <dcterms:modified xsi:type="dcterms:W3CDTF">2026-07-29T18:39:13Z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