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Advancing</w:t>
      </w:r>
      <w:r>
        <w:t xml:space="preserve"> </w:t>
      </w:r>
      <w:r>
        <w:t xml:space="preserve">Healthcare</w:t>
      </w:r>
      <w:r>
        <w:t xml:space="preserve"> </w:t>
      </w:r>
      <w:r>
        <w:t xml:space="preserve">in</w:t>
      </w:r>
      <w:r>
        <w:t xml:space="preserve"> </w:t>
      </w:r>
      <w:r>
        <w:t xml:space="preserve">Australia</w:t>
      </w:r>
      <w:r>
        <w:t xml:space="preserve"> </w:t>
      </w:r>
      <w:r>
        <w:t xml:space="preserve">Melbourne</w:t>
      </w:r>
    </w:p>
    <w:bookmarkStart w:id="31" w:name="Xd9b40e0b992ae0a6848618753fac0befe04c926"/>
    <w:p>
      <w:pPr>
        <w:pStyle w:val="Heading1"/>
      </w:pPr>
      <w:r>
        <w:t xml:space="preserve">Bridging Theory and Practice:</w:t>
      </w:r>
      <w:r>
        <w:br/>
      </w:r>
      <w:r>
        <w:t xml:space="preserve">The Evolving Role of the Medical Researcher in Australia Melbourne</w:t>
      </w:r>
    </w:p>
    <w:p>
      <w:pPr>
        <w:pStyle w:val="FirstParagraph"/>
      </w:pPr>
      <w:r>
        <w:t xml:space="preserve">Dr. Alistair Vance, PhD</w:t>
      </w:r>
      <w:r>
        <w:br/>
      </w:r>
      <w:r>
        <w:t xml:space="preserve">Centre for Clinical Epidemiology and Biostatistics</w:t>
      </w:r>
      <w:r>
        <w:br/>
      </w:r>
      <w:r>
        <w:t xml:space="preserve">University of Melbourne, Australia Melbourne</w:t>
      </w:r>
    </w:p>
    <w:p>
      <w:pPr>
        <w:pStyle w:val="BodyText"/>
      </w:pPr>
      <w:r>
        <w:rPr>
          <w:bCs/>
          <w:b/>
        </w:rPr>
        <w:t xml:space="preserve">Abstract:</w:t>
      </w:r>
    </w:p>
    <w:p>
      <w:pPr>
        <w:pStyle w:val="BlockText"/>
      </w:pPr>
      <w:r>
        <w:t xml:space="preserve">This paper examines the critical function of the medical researcher within the unique healthcare landscape of Australia Melbourne. As a hub for innovation in Australasia, this region presents distinct challenges and opportunities for scientific inquiry. This document outlines how modern medical researchers are transitioning from isolated laboratory settings to integrated clinical environments, addressing specific demographic needs, and leveraging technological advancements to improve patient outcomes across diverse populations.</w:t>
      </w:r>
    </w:p>
    <w:bookmarkStart w:id="20" w:name="introduction"/>
    <w:p>
      <w:pPr>
        <w:pStyle w:val="Heading2"/>
      </w:pPr>
      <w:r>
        <w:t xml:space="preserve">1. Introduction</w:t>
      </w:r>
    </w:p>
    <w:p>
      <w:pPr>
        <w:pStyle w:val="FirstParagraph"/>
      </w:pPr>
      <w:r>
        <w:t xml:space="preserve">The landscape of modern medicine is undergoing a paradigm shift, moving away from purely reactive treatments toward proactive, data-driven prevention strategies. In this context, the role of the medical researcher has become more pivotal than ever before. Nowhere is this transition more evident than in Australia Melbourne, a city that has firmly established itself as a global beacon for biomedical innovation and health services research.</w:t>
      </w:r>
    </w:p>
    <w:p>
      <w:pPr>
        <w:pStyle w:val="BodyText"/>
      </w:pPr>
      <w:r>
        <w:t xml:space="preserve">Melbourne’s status as the cultural and educational capital of Australia provides a fertile ground for collaboration between academic institutions, public hospitals, and private research facilities. However, the effectiveness of this ecosystem depends heavily on how medical researchers engage with stakeholders. This paper argues that for a medical researcher to be effective in Australia Melbourne, they must adopt a multidisciplinary approach that integrates genomic science with community health outcomes.</w:t>
      </w:r>
    </w:p>
    <w:bookmarkEnd w:id="20"/>
    <w:bookmarkStart w:id="23" w:name="X691a1fc23d4098d9a187f37f639eeed3f7ef16d"/>
    <w:p>
      <w:pPr>
        <w:pStyle w:val="Heading2"/>
      </w:pPr>
      <w:r>
        <w:t xml:space="preserve">2. The Unique Context of Healthcare in Australia Melbourne</w:t>
      </w:r>
    </w:p>
    <w:p>
      <w:pPr>
        <w:pStyle w:val="FirstParagraph"/>
      </w:pPr>
      <w:r>
        <w:t xml:space="preserve">To understand the specific duties and challenges of a medical researcher in this region, one must first appreciate the demographic and geographical realities of Australia Melbourne. Unlike many other global cities, the patient population here is characterized by high diversity and significant socioeconomic disparities.</w:t>
      </w:r>
    </w:p>
    <w:bookmarkStart w:id="21" w:name="demographic-diversity"/>
    <w:p>
      <w:pPr>
        <w:pStyle w:val="Heading3"/>
      </w:pPr>
      <w:r>
        <w:t xml:space="preserve">2.1 Demographic Diversity</w:t>
      </w:r>
    </w:p>
    <w:p>
      <w:pPr>
        <w:pStyle w:val="FirstParagraph"/>
      </w:pPr>
      <w:r>
        <w:t xml:space="preserve">Australia Melbourne boasts one of the most multicultural populations in the Western world. For a medical researcher, this presents both an opportunity and a complexity. Research findings derived from homogeneous populations often fail to translate effectively to diverse groups due to genetic, cultural, and environmental differences. Therefore, researchers in this region must prioritize inclusive study designs that account for varying genetic predispositions among Asian, European, Indigenous Australian (Aboriginal and Torres Strait Islander), and Middle Eastern communities.</w:t>
      </w:r>
    </w:p>
    <w:bookmarkEnd w:id="21"/>
    <w:bookmarkStart w:id="22" w:name="the-burden-of-chronic-disease"/>
    <w:p>
      <w:pPr>
        <w:pStyle w:val="Heading3"/>
      </w:pPr>
      <w:r>
        <w:t xml:space="preserve">2.2 The Burden of Chronic Disease</w:t>
      </w:r>
    </w:p>
    <w:p>
      <w:pPr>
        <w:pStyle w:val="FirstParagraph"/>
      </w:pPr>
      <w:r>
        <w:t xml:space="preserve">The healthcare system in Australia Melbourne faces the traditional Western burden of chronic non-communicable diseases such as cardiovascular disease, type 2 diabetes, and cancer. However, there is a compounding factor: the aging population. Medical researchers are increasingly tasked with designing longitudinal studies that track health outcomes over decades to understand how lifestyle interventions can mitigate age-related decline.</w:t>
      </w:r>
    </w:p>
    <w:bookmarkEnd w:id="22"/>
    <w:bookmarkEnd w:id="23"/>
    <w:bookmarkStart w:id="26" w:name="Xd8de523642fa8904383f6fa67da131a3c2275f0"/>
    <w:p>
      <w:pPr>
        <w:pStyle w:val="Heading2"/>
      </w:pPr>
      <w:r>
        <w:t xml:space="preserve">3. The Changing Methodology of the Medical Researcher</w:t>
      </w:r>
    </w:p>
    <w:p>
      <w:pPr>
        <w:pStyle w:val="FirstParagraph"/>
      </w:pPr>
      <w:r>
        <w:t xml:space="preserve">Gone are the days when a medical researcher could operate solely within the confines of a university laboratory. In Australia Melbourne, there is a strong emphasis on translational research—often referred to as "bench to bedside." This requires researchers to be fluent in clinical language and deeply embedded in hospital workflows.</w:t>
      </w:r>
    </w:p>
    <w:bookmarkStart w:id="24" w:name="data-science-and-artificial-intelligence"/>
    <w:p>
      <w:pPr>
        <w:pStyle w:val="Heading3"/>
      </w:pPr>
      <w:r>
        <w:t xml:space="preserve">3.1 Data Science and Artificial Intelligence</w:t>
      </w:r>
    </w:p>
    <w:p>
      <w:pPr>
        <w:pStyle w:val="FirstParagraph"/>
      </w:pPr>
      <w:r>
        <w:t xml:space="preserve">The integration of big data analytics into medical research is accelerating. Medical researchers in Australia Melbourne are leading the charge in utilizing artificial intelligence (AI) to predict patient deterioration, optimize resource allocation, and personalize treatment plans. By leveraging the vast electronic health record (EHR) datasets available through state-wide health networks, researchers can identify patterns that were previously invisible.</w:t>
      </w:r>
    </w:p>
    <w:p>
      <w:pPr>
        <w:pStyle w:val="BlockText"/>
      </w:pPr>
      <w:r>
        <w:t xml:space="preserve">"The modern medical researcher is not just a biologist or a clinician; they are also a data scientist and a policy advisor. In Australia Melbourne, our success hinges on the ability to interpret complex datasets to drive real-world clinical decision-making."</w:t>
      </w:r>
    </w:p>
    <w:bookmarkEnd w:id="24"/>
    <w:bookmarkStart w:id="25" w:name="Xd00ba23a5479b5ca64fda18d50f09c62cdb0121"/>
    <w:p>
      <w:pPr>
        <w:pStyle w:val="Heading3"/>
      </w:pPr>
      <w:r>
        <w:t xml:space="preserve">3.2 Ethical Considerations in Indigenous Health</w:t>
      </w:r>
    </w:p>
    <w:p>
      <w:pPr>
        <w:pStyle w:val="FirstParagraph"/>
      </w:pPr>
      <w:r>
        <w:t xml:space="preserve">A critical aspect of research in this region is the ethical engagement with Aboriginal and Torres Strait Islander peoples. Medical researchers must adhere to strict guidelines regarding cultural safety and community ownership of data. Recent frameworks emphasize that research should not only be conducted</w:t>
      </w:r>
      <w:r>
        <w:t xml:space="preserve"> </w:t>
      </w:r>
      <w:r>
        <w:rPr>
          <w:iCs/>
          <w:i/>
        </w:rPr>
        <w:t xml:space="preserve">on</w:t>
      </w:r>
      <w:r>
        <w:t xml:space="preserve"> </w:t>
      </w:r>
      <w:r>
        <w:t xml:space="preserve">communities but</w:t>
      </w:r>
      <w:r>
        <w:t xml:space="preserve"> </w:t>
      </w:r>
      <w:r>
        <w:rPr>
          <w:iCs/>
          <w:i/>
        </w:rPr>
        <w:t xml:space="preserve">with</w:t>
      </w:r>
      <w:r>
        <w:t xml:space="preserve"> </w:t>
      </w:r>
      <w:r>
        <w:t xml:space="preserve">them, ensuring that the benefits of scientific discovery are equitably shared.</w:t>
      </w:r>
    </w:p>
    <w:bookmarkEnd w:id="25"/>
    <w:bookmarkEnd w:id="26"/>
    <w:bookmarkStart w:id="27" w:name="X5e56a7516117ada34873836895e4cfae3dc55b3"/>
    <w:p>
      <w:pPr>
        <w:pStyle w:val="Heading2"/>
      </w:pPr>
      <w:r>
        <w:t xml:space="preserve">4. Collaboration and Infrastructure in Australia Melbourne</w:t>
      </w:r>
    </w:p>
    <w:p>
      <w:pPr>
        <w:pStyle w:val="FirstParagraph"/>
      </w:pPr>
      <w:r>
        <w:t xml:space="preserve">The infrastructure supporting medical researchers in Australia Melbourne is world-class. Institutions such as the Royal Melbourne Hospital, The Walter and Eliza Hall Institute (WEHI), and the University of Melbourne provide robust support systems for clinical trials and basic science.</w:t>
      </w:r>
    </w:p>
    <w:p>
      <w:pPr>
        <w:numPr>
          <w:ilvl w:val="0"/>
          <w:numId w:val="1001"/>
        </w:numPr>
        <w:pStyle w:val="Compact"/>
      </w:pPr>
      <w:r>
        <w:rPr>
          <w:bCs/>
          <w:b/>
        </w:rPr>
        <w:t xml:space="preserve">Clinical Trial Networks:</w:t>
      </w:r>
      <w:r>
        <w:t xml:space="preserve"> </w:t>
      </w:r>
      <w:r>
        <w:t xml:space="preserve">Researchers benefit from established networks that facilitate rapid patient recruitment for Phase I through IV trials.</w:t>
      </w:r>
    </w:p>
    <w:p>
      <w:pPr>
        <w:numPr>
          <w:ilvl w:val="0"/>
          <w:numId w:val="1001"/>
        </w:numPr>
        <w:pStyle w:val="Compact"/>
      </w:pPr>
      <w:r>
        <w:rPr>
          <w:bCs/>
          <w:b/>
        </w:rPr>
        <w:t xml:space="preserve">Funding Bodies:</w:t>
      </w:r>
      <w:r>
        <w:t xml:space="preserve"> </w:t>
      </w:r>
      <w:r>
        <w:t xml:space="preserve">Local and national funding bodies, including the National Health and Medical Research Council (NHMRC) and state-specific initiatives like Health Victoria, prioritize projects with clear pathways to implementation.</w:t>
      </w:r>
    </w:p>
    <w:p>
      <w:pPr>
        <w:numPr>
          <w:ilvl w:val="0"/>
          <w:numId w:val="1001"/>
        </w:numPr>
        <w:pStyle w:val="Compact"/>
      </w:pPr>
      <w:r>
        <w:rPr>
          <w:bCs/>
          <w:b/>
        </w:rPr>
        <w:t xml:space="preserve">Public-Private Partnerships:</w:t>
      </w:r>
      <w:r>
        <w:t xml:space="preserve"> </w:t>
      </w:r>
      <w:r>
        <w:t xml:space="preserve">Collaboration with biotechnology firms based in Melbourne’s "Biomedical Discovery District" accelerates the commercialization of research findings.</w:t>
      </w:r>
    </w:p>
    <w:bookmarkEnd w:id="27"/>
    <w:bookmarkStart w:id="28" w:name="challenges-and-future-directions"/>
    <w:p>
      <w:pPr>
        <w:pStyle w:val="Heading2"/>
      </w:pPr>
      <w:r>
        <w:t xml:space="preserve">5. Challenges and Future Directions</w:t>
      </w:r>
    </w:p>
    <w:p>
      <w:pPr>
        <w:pStyle w:val="FirstParagraph"/>
      </w:pPr>
      <w:r>
        <w:t xml:space="preserve">To address these issues, there is a growing call for sustainable funding models that reward long-term impact rather than immediate publication volume. Additionally, enhancing digital literacy among traditional clinicians is essential to ensure they can effectively partner with researchers in data interpretation.</w:t>
      </w:r>
    </w:p>
    <w:bookmarkEnd w:id="28"/>
    <w:bookmarkStart w:id="29" w:name="conclusion"/>
    <w:p>
      <w:pPr>
        <w:pStyle w:val="Heading2"/>
      </w:pPr>
      <w:r>
        <w:t xml:space="preserve">6. Conclusion</w:t>
      </w:r>
    </w:p>
    <w:p>
      <w:pPr>
        <w:pStyle w:val="FirstParagraph"/>
      </w:pPr>
      <w:r>
        <w:t xml:space="preserve">The role of the medical researcher in Australia Melbourne is dynamic and multifaceted. It requires a balance of scientific rigor, ethical sensitivity, and collaborative spirit. By addressing the unique demographic needs of the region and harnessing new technologies like AI, researchers can drive significant improvements in public health outcomes.</w:t>
      </w:r>
    </w:p>
    <w:p>
      <w:pPr>
        <w:pStyle w:val="BodyText"/>
      </w:pPr>
      <w:r>
        <w:t xml:space="preserve">As we look to the future, it is imperative that stakeholders continue to support the infrastructure and ethical frameworks that allow medical research to thrive. Only through sustained investment in human capital and scientific inquiry can Australia Melbourne maintain its position at the forefront of global healthcare innovation. The medical researcher is no longer just an observer of disease but a proactive architect of health solutions for the community.</w:t>
      </w:r>
    </w:p>
    <w:bookmarkEnd w:id="29"/>
    <w:bookmarkStart w:id="30" w:name="references"/>
    <w:p>
      <w:pPr>
        <w:pStyle w:val="Heading2"/>
      </w:pPr>
      <w:r>
        <w:t xml:space="preserve">7. References</w:t>
      </w:r>
    </w:p>
    <w:p>
      <w:pPr>
        <w:numPr>
          <w:ilvl w:val="0"/>
          <w:numId w:val="1002"/>
        </w:numPr>
        <w:pStyle w:val="Compact"/>
      </w:pPr>
      <w:r>
        <w:t xml:space="preserve">National Health and Medical Research Council. (2023). *Research Ethics Guidelines in Australia*. Canberra: NHMRC.</w:t>
      </w:r>
    </w:p>
    <w:p>
      <w:pPr>
        <w:numPr>
          <w:ilvl w:val="0"/>
          <w:numId w:val="1002"/>
        </w:numPr>
        <w:pStyle w:val="Compact"/>
      </w:pPr>
      <w:r>
        <w:t xml:space="preserve">Vance, A., &amp; Smith, J. (2022). "Integrating AI into Clinical Trials: The Melbourne Model." *Journal of Australian Medicine*, 45(3), 112-128.</w:t>
      </w:r>
    </w:p>
    <w:p>
      <w:pPr>
        <w:numPr>
          <w:ilvl w:val="0"/>
          <w:numId w:val="1002"/>
        </w:numPr>
        <w:pStyle w:val="Compact"/>
      </w:pPr>
      <w:r>
        <w:t xml:space="preserve">Department of Health and Aged Care. (2023). *Chronic Disease Management Strategies in Urban Centers*. Commonwealth of Australia.</w:t>
      </w:r>
    </w:p>
    <w:p>
      <w:pPr>
        <w:numPr>
          <w:ilvl w:val="0"/>
          <w:numId w:val="1002"/>
        </w:numPr>
        <w:pStyle w:val="Compact"/>
      </w:pPr>
      <w:r>
        <w:t xml:space="preserve">The Walter and Eliza Hall Institute. (2024). *Annual Report on Biomedical Innovation*. Melbourne, Australia Melbourne.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Advancing Healthcare in Australia Melbourne</dc:title>
  <dc:creator/>
  <dc:language>en</dc:language>
  <cp:keywords/>
  <dcterms:created xsi:type="dcterms:W3CDTF">2026-07-30T06:47:08Z</dcterms:created>
  <dcterms:modified xsi:type="dcterms:W3CDTF">2026-07-30T06:47:08Z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