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Global</w:t>
      </w:r>
      <w:r>
        <w:t xml:space="preserve"> </w:t>
      </w:r>
      <w:r>
        <w:t xml:space="preserve">Health</w:t>
      </w:r>
      <w:r>
        <w:t xml:space="preserve"> </w:t>
      </w:r>
      <w:r>
        <w:t xml:space="preserve">Standards</w:t>
      </w:r>
      <w:r>
        <w:t xml:space="preserve"> </w:t>
      </w:r>
      <w:r>
        <w:t xml:space="preserve">in</w:t>
      </w:r>
      <w:r>
        <w:t xml:space="preserve"> </w:t>
      </w:r>
      <w:r>
        <w:t xml:space="preserve">Canada</w:t>
      </w:r>
      <w:r>
        <w:t xml:space="preserve"> </w:t>
      </w:r>
      <w:r>
        <w:t xml:space="preserve">Vancouver</w:t>
      </w:r>
    </w:p>
    <w:bookmarkStart w:id="31" w:name="X12cd5c7e63f03fd91cf3466aca4b2c952b0d8b6"/>
    <w:p>
      <w:pPr>
        <w:pStyle w:val="Heading1"/>
      </w:pPr>
      <w:r>
        <w:t xml:space="preserve">Bridging Borders and Bench Science: The Evolving Role of the Medical Researcher in the Healthcare Ecosystem of Canada Vancouver</w:t>
      </w:r>
    </w:p>
    <w:p>
      <w:pPr>
        <w:pStyle w:val="FirstParagraph"/>
      </w:pPr>
      <w:r>
        <w:rPr>
          <w:bCs/>
          <w:b/>
        </w:rPr>
        <w:t xml:space="preserve">Presented at the International Summit on Health Innovation</w:t>
      </w:r>
      <w:r>
        <w:br/>
      </w:r>
      <w:r>
        <w:t xml:space="preserve">Location: Canada Vancouver</w:t>
      </w:r>
      <w:r>
        <w:br/>
      </w:r>
      <w:r>
        <w:t xml:space="preserve">Date: October 2023</w:t>
      </w:r>
      <w:r>
        <w:br/>
      </w:r>
      <w:r>
        <w:t xml:space="preserve">Author: Dr. Elena Rostova, Senior Fellow in Public Health Analytics</w:t>
      </w:r>
    </w:p>
    <w:bookmarkStart w:id="20" w:name="abstract"/>
    <w:p>
      <w:pPr>
        <w:pStyle w:val="Heading2"/>
      </w:pPr>
      <w:r>
        <w:t xml:space="preserve">Abstract</w:t>
      </w:r>
    </w:p>
    <w:p>
      <w:pPr>
        <w:pStyle w:val="FirstParagraph"/>
      </w:pPr>
      <w:r>
        <w:t xml:space="preserve">This paper explores the transformative role of the medical researcher within the unique socio-economic and geographic context of Canada Vancouver. As healthcare systems worldwide grapple with aging demographics, technological disruption, and post-pandemic recovery challenges, the province of British Columbia has emerged as a critical hub for translational medicine. This document analyzes how modern medical researchers in this region are navigating complex regulatory frameworks while fostering interdisciplinary collaboration. We argue that the specific environmental and cultural dynamics of Canada Vancouver necessitate a new paradigm for research methodology, one that prioritizes Indigenous knowledge integration, digital health equity, and rapid clinical implementation.</w:t>
      </w:r>
    </w:p>
    <w:bookmarkEnd w:id="20"/>
    <w:bookmarkStart w:id="21" w:name="introduction"/>
    <w:p>
      <w:pPr>
        <w:pStyle w:val="Heading2"/>
      </w:pPr>
      <w:r>
        <w:t xml:space="preserve">1. Introduction</w:t>
      </w:r>
    </w:p>
    <w:p>
      <w:pPr>
        <w:pStyle w:val="FirstParagraph"/>
      </w:pPr>
      <w:r>
        <w:t xml:space="preserve">The landscape of medical science is undergoing a profound shift. No longer confined to the sterile isolation of academic laboratories, the contemporary medical researcher is increasingly embedded within community networks, policy-making bodies, and clinical settings. Nowhere is this integration more visible than in Canada Vancouver, a city renowned for its scenic beauty but equally celebrated for its rigorous approach to public health and biomedical innovation.</w:t>
      </w:r>
    </w:p>
    <w:p>
      <w:pPr>
        <w:pStyle w:val="BodyText"/>
      </w:pPr>
      <w:r>
        <w:t xml:space="preserve">Vancouver serves as a microcosm of global healthcare challenges. With one of the fastest-growing populations in Canada and a diverse demographic profile, the region presents unique opportunities for longitudinal studies, genetic research, and social determinants of health analysis. However, it also presents distinct hurdles regarding accessibility and resource allocation. This paper examines how medical researchers are adapting to these conditions to produce high-impact outcomes that benefit not only local populations but contribute to the global scientific community.</w:t>
      </w:r>
    </w:p>
    <w:bookmarkEnd w:id="21"/>
    <w:bookmarkStart w:id="24" w:name="the-unique-context-of-canada-vancouver"/>
    <w:p>
      <w:pPr>
        <w:pStyle w:val="Heading2"/>
      </w:pPr>
      <w:r>
        <w:t xml:space="preserve">2. The Unique Context of Canada Vancouver</w:t>
      </w:r>
    </w:p>
    <w:p>
      <w:pPr>
        <w:pStyle w:val="FirstParagraph"/>
      </w:pPr>
      <w:r>
        <w:t xml:space="preserve">To understand the function of the medical researcher in this region, one must first appreciate the specific context defined by Canada Vancouver. This metropolitan area is characterized by a high degree of multiculturalism and a robust tech sector, particularly in digital health and biotechnology startups. Furthermore, its proximity to diverse ecosystems allows for environmental health research that is unmatched elsewhere.</w:t>
      </w:r>
    </w:p>
    <w:bookmarkStart w:id="22" w:name="X28aeec141ffde9075bf1ff5a5b21b7158ed94ef"/>
    <w:p>
      <w:pPr>
        <w:pStyle w:val="Heading3"/>
      </w:pPr>
      <w:r>
        <w:t xml:space="preserve">2.1 Integration with Indigenous Knowledge Systems</w:t>
      </w:r>
    </w:p>
    <w:p>
      <w:pPr>
        <w:pStyle w:val="FirstParagraph"/>
      </w:pPr>
      <w:r>
        <w:t xml:space="preserve">A defining characteristic of medical research in Canada Vancouver is the growing emphasis on decolonizing methodologies and integrating Traditional Ecological Knowledge (TEK). Medical researchers are no longer permitted to operate solely within Western biomedical frameworks. Instead, successful projects now involve partnerships with First Nations communities, ensuring that health interventions respect cultural sovereignty. For instance, recent studies on mental health resilience have combined cognitive behavioral therapy protocols with traditional land-based practices, yielding superior patient engagement metrics. This collaborative approach ensures that research is not just conducted</w:t>
      </w:r>
      <w:r>
        <w:t xml:space="preserve"> </w:t>
      </w:r>
      <w:r>
        <w:rPr>
          <w:iCs/>
          <w:i/>
        </w:rPr>
        <w:t xml:space="preserve">on</w:t>
      </w:r>
      <w:r>
        <w:t xml:space="preserve"> </w:t>
      </w:r>
      <w:r>
        <w:t xml:space="preserve">a population but</w:t>
      </w:r>
      <w:r>
        <w:t xml:space="preserve"> </w:t>
      </w:r>
      <w:r>
        <w:rPr>
          <w:iCs/>
          <w:i/>
        </w:rPr>
        <w:t xml:space="preserve">with</w:t>
      </w:r>
      <w:r>
        <w:t xml:space="preserve"> </w:t>
      </w:r>
      <w:r>
        <w:t xml:space="preserve">them.</w:t>
      </w:r>
    </w:p>
    <w:bookmarkEnd w:id="22"/>
    <w:bookmarkStart w:id="23" w:name="the-digital-health-ecosystem"/>
    <w:p>
      <w:pPr>
        <w:pStyle w:val="Heading3"/>
      </w:pPr>
      <w:r>
        <w:t xml:space="preserve">2.2 The Digital Health Ecosystem</w:t>
      </w:r>
    </w:p>
    <w:p>
      <w:pPr>
        <w:pStyle w:val="FirstParagraph"/>
      </w:pPr>
      <w:r>
        <w:t xml:space="preserve">Vancouver has become a Silicon Valley of the North for health technology. Medical researchers here are leveraging artificial intelligence (AI) and machine learning to analyze large-scale epidemiological data. The provincial health authority’s commitment to open data standards has empowered researchers to track disease outbreaks with unprecedented precision. Consequently, the role of the medical researcher has expanded from hypothesis generation to data science proficiency, requiring continuous upskilling in computational biology and informatics.</w:t>
      </w:r>
    </w:p>
    <w:bookmarkEnd w:id="23"/>
    <w:bookmarkEnd w:id="24"/>
    <w:bookmarkStart w:id="27" w:name="challenges-faced-by-medical-researchers"/>
    <w:p>
      <w:pPr>
        <w:pStyle w:val="Heading2"/>
      </w:pPr>
      <w:r>
        <w:t xml:space="preserve">3. Challenges Faced by Medical Researchers</w:t>
      </w:r>
    </w:p>
    <w:p>
      <w:pPr>
        <w:pStyle w:val="FirstParagraph"/>
      </w:pPr>
      <w:r>
        <w:t xml:space="preserve">Despite these advantages, medical researchers in Canada Vancouver face significant structural barriers. The high cost of living in the city has contributed to a "brain drain," where early-career scientists leave for more affordable regions, disrupting long-term research continuity.</w:t>
      </w:r>
    </w:p>
    <w:bookmarkStart w:id="25" w:name="regulatory-complexity"/>
    <w:p>
      <w:pPr>
        <w:pStyle w:val="Heading3"/>
      </w:pPr>
      <w:r>
        <w:t xml:space="preserve">3.1 Regulatory Complexity</w:t>
      </w:r>
    </w:p>
    <w:p>
      <w:pPr>
        <w:pStyle w:val="FirstParagraph"/>
      </w:pPr>
      <w:r>
        <w:t xml:space="preserve">Navigating the regulatory landscape between provincial health authorities and federal ethics boards can be time-consuming. For medical researchers seeking to implement rapid clinical trials, bureaucratic delays often hinder the translation of bench science into bedside application. Streamlining ethical review processes without compromising patient safety remains a top priority for stakeholders in Canada Vancouver.</w:t>
      </w:r>
    </w:p>
    <w:bookmarkEnd w:id="25"/>
    <w:bookmarkStart w:id="26" w:name="health-equity-disparities"/>
    <w:p>
      <w:pPr>
        <w:pStyle w:val="Heading3"/>
      </w:pPr>
      <w:r>
        <w:t xml:space="preserve">3.2 Health Equity Disparities</w:t>
      </w:r>
    </w:p>
    <w:p>
      <w:pPr>
        <w:pStyle w:val="FirstParagraph"/>
      </w:pPr>
      <w:r>
        <w:t xml:space="preserve">A stark contrast exists between urban and rural healthcare outcomes within the broader region. Medical researchers must account for geographic disparities when designing studies. Ensuring that marginalized communities, including unhoused populations and recent immigrants, are represented in clinical trials is both an ethical imperative and a scientific necessity to avoid biased results.</w:t>
      </w:r>
    </w:p>
    <w:bookmarkEnd w:id="26"/>
    <w:bookmarkEnd w:id="27"/>
    <w:bookmarkStart w:id="28" w:name="Xe0eb7a46bccbfd7ed5410859adab9ace0c5b81d"/>
    <w:p>
      <w:pPr>
        <w:pStyle w:val="Heading2"/>
      </w:pPr>
      <w:r>
        <w:t xml:space="preserve">4. Strategic Recommendations for Future Research</w:t>
      </w:r>
    </w:p>
    <w:p>
      <w:pPr>
        <w:pStyle w:val="FirstParagraph"/>
      </w:pPr>
      <w:r>
        <w:t xml:space="preserve">To maximize the impact of medical research in this region, we propose several strategic directions:</w:t>
      </w:r>
    </w:p>
    <w:p>
      <w:pPr>
        <w:numPr>
          <w:ilvl w:val="0"/>
          <w:numId w:val="1001"/>
        </w:numPr>
        <w:pStyle w:val="Compact"/>
      </w:pPr>
      <w:r>
        <w:rPr>
          <w:iCs/>
          <w:i/>
          <w:bCs/>
          <w:b/>
        </w:rPr>
        <w:t xml:space="preserve">Multidisciplinary Hubs:</w:t>
      </w:r>
      <w:r>
        <w:t xml:space="preserve"> </w:t>
      </w:r>
      <w:r>
        <w:t xml:space="preserve">Establish physical and virtual hubs where clinicians, data scientists, sociologists, and community leaders collaborate daily. This breaks down silos that currently impede holistic health solutions.</w:t>
      </w:r>
    </w:p>
    <w:p>
      <w:pPr>
        <w:numPr>
          <w:ilvl w:val="0"/>
          <w:numId w:val="1001"/>
        </w:numPr>
        <w:pStyle w:val="Compact"/>
      </w:pPr>
      <w:r>
        <w:rPr>
          <w:iCs/>
          <w:i/>
          <w:bCs/>
          <w:b/>
        </w:rPr>
        <w:t xml:space="preserve">Funding Diversification:</w:t>
      </w:r>
      <w:r>
        <w:t xml:space="preserve"> </w:t>
      </w:r>
      <w:r>
        <w:t xml:space="preserve">Reduce reliance on government grants by fostering public-private partnerships with Vancouver’s tech industry. Venture capital directed toward medical research can accelerate the commercialization of innovative treatments.</w:t>
      </w:r>
    </w:p>
    <w:p>
      <w:pPr>
        <w:numPr>
          <w:ilvl w:val="0"/>
          <w:numId w:val="1001"/>
        </w:numPr>
        <w:pStyle w:val="Compact"/>
      </w:pPr>
      <w:r>
        <w:rPr>
          <w:iCs/>
          <w:i/>
          <w:bCs/>
          <w:b/>
        </w:rPr>
        <w:t xml:space="preserve">Prioritizing Reproducibility:</w:t>
      </w:r>
      <w:r>
        <w:t xml:space="preserve"> </w:t>
      </w:r>
      <w:r>
        <w:t xml:space="preserve">Adopt strict standards for data transparency and reproducibility. As Canada Vancouver positions itself as a global leader, the credibility of its research output must remain unassailable.</w:t>
      </w:r>
    </w:p>
    <w:bookmarkEnd w:id="28"/>
    <w:bookmarkStart w:id="29" w:name="conclusion"/>
    <w:p>
      <w:pPr>
        <w:pStyle w:val="Heading2"/>
      </w:pPr>
      <w:r>
        <w:t xml:space="preserve">5. Conclusion</w:t>
      </w:r>
    </w:p>
    <w:p>
      <w:pPr>
        <w:pStyle w:val="FirstParagraph"/>
      </w:pPr>
      <w:r>
        <w:t xml:space="preserve">The evolution of the medical researcher in Canada Vancouver represents a broader trend toward integrated, ethical, and technologically advanced healthcare science. By embracing Indigenous partnerships, leveraging digital tools, and addressing systemic inequities, researchers in this region are setting a benchmark for global health innovation.</w:t>
      </w:r>
    </w:p>
    <w:p>
      <w:pPr>
        <w:pStyle w:val="BodyText"/>
      </w:pPr>
      <w:r>
        <w:t xml:space="preserve">As we look to the future, the continued success of medical research will depend on our ability to adapt to local contexts while maintaining international standards. Canada Vancouver is not merely a location for conducting experiments; it is a dynamic laboratory for reimagining how humanity interacts with medicine. The medical researcher of tomorrow must be part scientist, part diplomat, and part technologist. It is through this multifaceted approach that we will achieve sustainable health improvements for all.</w:t>
      </w:r>
    </w:p>
    <w:bookmarkEnd w:id="29"/>
    <w:bookmarkStart w:id="30" w:name="references"/>
    <w:p>
      <w:pPr>
        <w:pStyle w:val="Heading2"/>
      </w:pPr>
      <w:r>
        <w:t xml:space="preserve">6. References</w:t>
      </w:r>
    </w:p>
    <w:p>
      <w:pPr>
        <w:numPr>
          <w:ilvl w:val="0"/>
          <w:numId w:val="1002"/>
        </w:numPr>
        <w:pStyle w:val="Compact"/>
      </w:pPr>
      <w:r>
        <w:t xml:space="preserve">British Columbia Ministry of Health. (2023). *Annual Report on Public Health Initiatives in Metro Vancouver.* Victoria, BC: Queen’s Printer.</w:t>
      </w:r>
    </w:p>
    <w:p>
      <w:pPr>
        <w:numPr>
          <w:ilvl w:val="0"/>
          <w:numId w:val="1002"/>
        </w:numPr>
        <w:pStyle w:val="Compact"/>
      </w:pPr>
      <w:r>
        <w:t xml:space="preserve">Chen, L., &amp; Patel, R. (2022). "Digital Integration in Rural Healthcare: A Case Study from Canada." *Journal of Telemedicine and e-Health*, 15(4), 112-130.</w:t>
      </w:r>
    </w:p>
    <w:p>
      <w:pPr>
        <w:numPr>
          <w:ilvl w:val="0"/>
          <w:numId w:val="1002"/>
        </w:numPr>
        <w:pStyle w:val="Compact"/>
      </w:pPr>
      <w:r>
        <w:t xml:space="preserve">Smith, J. (2021). *Decolonizing Medical Research: Protocols for Indigenous Partnership.* Vancouver University Press.</w:t>
      </w:r>
    </w:p>
    <w:p>
      <w:pPr>
        <w:numPr>
          <w:ilvl w:val="0"/>
          <w:numId w:val="1002"/>
        </w:numPr>
        <w:pStyle w:val="Compact"/>
      </w:pPr>
      <w:r>
        <w:t xml:space="preserve">World Health Organization. (2023). *Global Standards for Clinical Trial Ethics.*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Global Health Standards in Canada Vancouver</dc:title>
  <dc:creator/>
  <dc:language>en</dc:language>
  <cp:keywords/>
  <dcterms:created xsi:type="dcterms:W3CDTF">2026-07-29T15:38:18Z</dcterms:created>
  <dcterms:modified xsi:type="dcterms:W3CDTF">2026-07-29T15:38:18Z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