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a</w:t>
      </w:r>
      <w:r>
        <w:t xml:space="preserve"> </w:t>
      </w:r>
      <w:r>
        <w:t xml:space="preserve">Global</w:t>
      </w:r>
      <w:r>
        <w:t xml:space="preserve"> </w:t>
      </w:r>
      <w:r>
        <w:t xml:space="preserve">Context</w:t>
      </w:r>
    </w:p>
    <w:bookmarkStart w:id="31" w:name="Xf40be612665cce4b757cb349e4bc560987182b6"/>
    <w:p>
      <w:pPr>
        <w:pStyle w:val="Heading1"/>
      </w:pPr>
      <w:r>
        <w:t xml:space="preserve">Bridging Tradition and Innovation: The Role of the Modern Medical Researcher in Shaping Global Health Policy</w:t>
      </w:r>
    </w:p>
    <w:p>
      <w:pPr>
        <w:pStyle w:val="FirstParagraph"/>
      </w:pPr>
      <w:r>
        <w:rPr>
          <w:bCs/>
          <w:b/>
        </w:rPr>
        <w:t xml:space="preserve">Jean-Luc Dubois, Ph.D.</w:t>
      </w:r>
      <w:r>
        <w:br/>
      </w:r>
      <w:r>
        <w:t xml:space="preserve">Senior Fellow, Institute for Clinical Translational Sciences</w:t>
      </w:r>
      <w:r>
        <w:br/>
      </w:r>
      <w:r>
        <w:t xml:space="preserve">Correspondence: j.dubois@clinical-translational.eu</w:t>
      </w:r>
    </w:p>
    <w:bookmarkStart w:id="20" w:name="abstract"/>
    <w:p>
      <w:pPr>
        <w:pStyle w:val="Heading3"/>
      </w:pPr>
      <w:r>
        <w:t xml:space="preserve">Abstract</w:t>
      </w:r>
    </w:p>
    <w:p>
      <w:pPr>
        <w:pStyle w:val="FirstParagraph"/>
      </w:pPr>
      <w:r>
        <w:t xml:space="preserve">This paper examines the critical role of the</w:t>
      </w:r>
      <w:r>
        <w:t xml:space="preserve"> </w:t>
      </w:r>
      <w:r>
        <w:rPr>
          <w:iCs/>
          <w:i/>
          <w:bCs/>
          <w:b/>
        </w:rPr>
        <w:t xml:space="preserve">MEDICAL RESEARCHER</w:t>
      </w:r>
      <w:r>
        <w:t xml:space="preserve"> </w:t>
      </w:r>
      <w:r>
        <w:t xml:space="preserve">in contemporary healthcare systems, with a specific focus on the collaborative frameworks emerging within Europe. By analyzing recent case studies and policy shifts, we argue that the modern researcher must transcend traditional laboratory boundaries to engage actively with policymakers, industry leaders, and patient advocacy groups. Particular attention is given to the unique opportunities presented by hosting international symposia in hubs like</w:t>
      </w:r>
      <w:r>
        <w:t xml:space="preserve"> </w:t>
      </w:r>
      <w:r>
        <w:rPr>
          <w:iCs/>
          <w:i/>
          <w:bCs/>
          <w:b/>
        </w:rPr>
        <w:t xml:space="preserve">FRANCE LYON</w:t>
      </w:r>
      <w:r>
        <w:t xml:space="preserve">, which serve as pivotal nodes for networking and cross-disciplinary dialogue. The findings suggest that successful medical research in the 21st century is not merely about discovery, but about effective translation of scientific knowledge into societal benefit.</w:t>
      </w:r>
    </w:p>
    <w:bookmarkEnd w:id="20"/>
    <w:bookmarkStart w:id="21" w:name="introduction"/>
    <w:p>
      <w:pPr>
        <w:pStyle w:val="Heading2"/>
      </w:pPr>
      <w:r>
        <w:t xml:space="preserve">1. Introduction</w:t>
      </w:r>
    </w:p>
    <w:p>
      <w:pPr>
        <w:pStyle w:val="FirstParagraph"/>
      </w:pPr>
      <w:r>
        <w:t xml:space="preserve">The landscape of biomedical science is undergoing a profound transformation. Historically, the identity of the</w:t>
      </w:r>
      <w:r>
        <w:t xml:space="preserve"> </w:t>
      </w:r>
      <w:r>
        <w:rPr>
          <w:iCs/>
          <w:i/>
          <w:bCs/>
          <w:b/>
        </w:rPr>
        <w:t xml:space="preserve">MEDICAL RESEARCHER</w:t>
      </w:r>
      <w:r>
        <w:t xml:space="preserve"> </w:t>
      </w:r>
      <w:r>
        <w:t xml:space="preserve">was confined largely to academic institutions and pharmaceutical laboratories, where the primary objective was the isolation of variables and the publication of peer-reviewed findings. However, in an era defined by rapid technological advancement and increasing global health challenges, this siloed approach is no longer sufficient. Today’s researchers are expected to be multifaceted professionals who can navigate complex ethical landscapes, utilize big data analytics, and communicate effectively with non-specialist audiences.</w:t>
      </w:r>
    </w:p>
    <w:p>
      <w:pPr>
        <w:pStyle w:val="BodyText"/>
      </w:pPr>
      <w:r>
        <w:t xml:space="preserve">This paper posits that the efficacy of medical research is directly correlated with the strength of its collaborative networks. In this context, geographic hubs play an outsized role in facilitating these connections. We will specifically explore how cities like</w:t>
      </w:r>
      <w:r>
        <w:t xml:space="preserve"> </w:t>
      </w:r>
      <w:r>
        <w:rPr>
          <w:iCs/>
          <w:i/>
          <w:bCs/>
          <w:b/>
        </w:rPr>
        <w:t xml:space="preserve">FRANCE LYON</w:t>
      </w:r>
      <w:r>
        <w:t xml:space="preserve"> </w:t>
      </w:r>
      <w:r>
        <w:t xml:space="preserve">have emerged as critical centers for medical innovation, providing a fertile ground for the convergence of historical medical heritage and cutting-edge biotechnology. By situating our discussion within the context of</w:t>
      </w:r>
      <w:r>
        <w:t xml:space="preserve"> </w:t>
      </w:r>
      <w:r>
        <w:rPr>
          <w:iCs/>
          <w:i/>
          <w:bCs/>
          <w:b/>
        </w:rPr>
        <w:t xml:space="preserve">FRANCE LYON</w:t>
      </w:r>
      <w:r>
        <w:t xml:space="preserve">, we highlight how regional ecosystems can amplify the impact of individual research efforts.</w:t>
      </w:r>
    </w:p>
    <w:bookmarkEnd w:id="21"/>
    <w:bookmarkStart w:id="24" w:name="X24a29d6fd095612fcb7d01920e509291852e94f"/>
    <w:p>
      <w:pPr>
        <w:pStyle w:val="Heading2"/>
      </w:pPr>
      <w:r>
        <w:t xml:space="preserve">2. The Changing Paradigm of Medical Research</w:t>
      </w:r>
    </w:p>
    <w:p>
      <w:pPr>
        <w:pStyle w:val="FirstParagraph"/>
      </w:pPr>
      <w:r>
        <w:t xml:space="preserve">The definition of what constitutes impactful research has shifted. In the past, success was measured primarily by citation indices and grant acquisition. While these metrics remain relevant, they are increasingly supplemented by metrics of real-world impact: patient outcomes, policy changes, and economic benefits derived from new therapies.</w:t>
      </w:r>
    </w:p>
    <w:bookmarkStart w:id="22" w:name="the-interdisciplinary-imperative"/>
    <w:p>
      <w:pPr>
        <w:pStyle w:val="Heading3"/>
      </w:pPr>
      <w:r>
        <w:t xml:space="preserve">2.1 The Interdisciplinary Imperative</w:t>
      </w:r>
    </w:p>
    <w:p>
      <w:pPr>
        <w:pStyle w:val="FirstParagraph"/>
      </w:pPr>
      <w:r>
        <w:t xml:space="preserve">The modern</w:t>
      </w:r>
      <w:r>
        <w:t xml:space="preserve"> </w:t>
      </w:r>
      <w:r>
        <w:rPr>
          <w:iCs/>
          <w:i/>
          <w:bCs/>
          <w:b/>
        </w:rPr>
        <w:t xml:space="preserve">MEDICAL RESEARCHER</w:t>
      </w:r>
      <w:r>
        <w:t xml:space="preserve"> </w:t>
      </w:r>
      <w:r>
        <w:t xml:space="preserve">must be fluent in the languages of multiple disciplines. Genomics requires expertise in bioinformatics; clinical trials demand knowledge of regulatory affairs and statistical modeling; and public health initiatives require an understanding of sociology and economics. This interdisciplinary requirement is particularly acute when addressing complex diseases such as cancer, neurodegenerative disorders, and infectious diseases. For instance, recent breakthroughs in immunotherapy were not achieved by biologists alone but through the sustained collaboration of immunologists, oncologists, data scientists, and clinical practitioners.</w:t>
      </w:r>
    </w:p>
    <w:bookmarkEnd w:id="22"/>
    <w:bookmarkStart w:id="23" w:name="data-integrity-and-open-science"/>
    <w:p>
      <w:pPr>
        <w:pStyle w:val="Heading3"/>
      </w:pPr>
      <w:r>
        <w:t xml:space="preserve">2.2 Data Integrity and Open Science</w:t>
      </w:r>
    </w:p>
    <w:p>
      <w:pPr>
        <w:pStyle w:val="FirstParagraph"/>
      </w:pPr>
      <w:r>
        <w:t xml:space="preserve">Furthermore, the rise of artificial intelligence and machine learning in drug discovery has necessitated a new commitment to data integrity. The</w:t>
      </w:r>
      <w:r>
        <w:t xml:space="preserve"> </w:t>
      </w:r>
      <w:r>
        <w:rPr>
          <w:iCs/>
          <w:i/>
          <w:bCs/>
          <w:b/>
        </w:rPr>
        <w:t xml:space="preserve">MEDICAL RESEARCHER</w:t>
      </w:r>
      <w:r>
        <w:t xml:space="preserve"> </w:t>
      </w:r>
      <w:r>
        <w:t xml:space="preserve">is now custodian of vast datasets that must be managed with rigor, transparency, and ethical consideration. Open science initiatives are gaining traction, encouraging researchers to share raw data and methodologies to foster reproducibility. This shift requires a cultural change within research institutions, promoting a mindset where collaboration is valued over competition.</w:t>
      </w:r>
    </w:p>
    <w:bookmarkEnd w:id="23"/>
    <w:bookmarkEnd w:id="24"/>
    <w:bookmarkStart w:id="27" w:name="X5afe1b837f2ae62be1dd9873817861a0a478cf1"/>
    <w:p>
      <w:pPr>
        <w:pStyle w:val="Heading2"/>
      </w:pPr>
      <w:r>
        <w:t xml:space="preserve">3. FRANCE LYON as a Hub for Medical Innovation</w:t>
      </w:r>
    </w:p>
    <w:p>
      <w:pPr>
        <w:pStyle w:val="FirstParagraph"/>
      </w:pPr>
      <w:r>
        <w:t xml:space="preserve">To understand the practical application of these theoretical shifts, we must look at specific geographic locations that have successfully cultivated such environments.</w:t>
      </w:r>
      <w:r>
        <w:t xml:space="preserve"> </w:t>
      </w:r>
      <w:r>
        <w:rPr>
          <w:iCs/>
          <w:i/>
          <w:bCs/>
          <w:b/>
        </w:rPr>
        <w:t xml:space="preserve">FRANCE LYON</w:t>
      </w:r>
      <w:r>
        <w:t xml:space="preserve">, historically known for its silk industry and gastronomy, has quietly established itself as one of Europe’s leading centers for biomedical research. This transformation is not accidental but the result of strategic investments in infrastructure, education, and international partnerships.</w:t>
      </w:r>
    </w:p>
    <w:bookmarkStart w:id="25" w:name="X132ea7c0ae35486909f5724d58afc7808240195"/>
    <w:p>
      <w:pPr>
        <w:pStyle w:val="Heading3"/>
      </w:pPr>
      <w:r>
        <w:t xml:space="preserve">3.1 Historical Context and Modern Infrastructure</w:t>
      </w:r>
    </w:p>
    <w:p>
      <w:pPr>
        <w:pStyle w:val="FirstParagraph"/>
      </w:pPr>
      <w:r>
        <w:t xml:space="preserve">Lyon boasts a rich history in medicine, dating back to the founding of some of Europe’s oldest universities and hospitals. Today, this heritage is complemented by state-of-the-art facilities such as the Institut des Sciences de l’Information et de leurs Technologies (ISIT) and various university hospitals (CHU). The presence of major pharmaceutical companies alongside vibrant start-up ecosystems creates a dynamic environment where the</w:t>
      </w:r>
      <w:r>
        <w:t xml:space="preserve"> </w:t>
      </w:r>
      <w:r>
        <w:rPr>
          <w:iCs/>
          <w:i/>
          <w:bCs/>
          <w:b/>
        </w:rPr>
        <w:t xml:space="preserve">MEDICAL RESEARCHER</w:t>
      </w:r>
      <w:r>
        <w:t xml:space="preserve"> </w:t>
      </w:r>
      <w:r>
        <w:t xml:space="preserve">can easily transition from bench to bedside.</w:t>
      </w:r>
    </w:p>
    <w:bookmarkEnd w:id="25"/>
    <w:bookmarkStart w:id="26" w:name="X3d9333dfcfeb227712afb8e07586815806fff13"/>
    <w:p>
      <w:pPr>
        <w:pStyle w:val="Heading3"/>
      </w:pPr>
      <w:r>
        <w:t xml:space="preserve">3.2 The Importance of International Conferences in FRANCE LYON</w:t>
      </w:r>
    </w:p>
    <w:p>
      <w:pPr>
        <w:pStyle w:val="FirstParagraph"/>
      </w:pPr>
      <w:r>
        <w:t xml:space="preserve">A crucial aspect of Lyon’s success is its role as a host for international scientific gatherings. When the</w:t>
      </w:r>
      <w:r>
        <w:t xml:space="preserve"> </w:t>
      </w:r>
      <w:r>
        <w:rPr>
          <w:iCs/>
          <w:i/>
          <w:bCs/>
          <w:b/>
        </w:rPr>
        <w:t xml:space="preserve">MEDICAL RESEARCHER</w:t>
      </w:r>
      <w:r>
        <w:t xml:space="preserve"> </w:t>
      </w:r>
      <w:r>
        <w:t xml:space="preserve">travels to</w:t>
      </w:r>
      <w:r>
        <w:t xml:space="preserve"> </w:t>
      </w:r>
      <w:r>
        <w:rPr>
          <w:iCs/>
          <w:i/>
          <w:bCs/>
          <w:b/>
        </w:rPr>
        <w:t xml:space="preserve">FRANCE LYON</w:t>
      </w:r>
      <w:r>
        <w:t xml:space="preserve">, they are not just attending a conference; they are entering an ecosystem designed to facilitate high-level dialogue. The infrastructure in Lyon supports large-scale symposia, workshops, and networking events that bring together global experts. These events serve as catalysts for new collaborations, often leading to multi-center clinical trials and joint grant applications.</w:t>
      </w:r>
    </w:p>
    <w:p>
      <w:pPr>
        <w:pStyle w:val="BodyText"/>
      </w:pPr>
      <w:r>
        <w:t xml:space="preserve">The choice of venue matters.</w:t>
      </w:r>
      <w:r>
        <w:t xml:space="preserve"> </w:t>
      </w:r>
      <w:r>
        <w:rPr>
          <w:iCs/>
          <w:i/>
          <w:bCs/>
          <w:b/>
        </w:rPr>
        <w:t xml:space="preserve">FRANCE LYON</w:t>
      </w:r>
      <w:r>
        <w:t xml:space="preserve"> </w:t>
      </w:r>
      <w:r>
        <w:t xml:space="preserve">offers a unique blend of professionalism and accessibility, making it an attractive destination for researchers from diverse cultural backgrounds. The city’s commitment to sustainability and inclusivity in its conference planning reflects the broader values of modern science, emphasizing that research must serve all of humanity.</w:t>
      </w:r>
    </w:p>
    <w:bookmarkEnd w:id="26"/>
    <w:bookmarkEnd w:id="27"/>
    <w:bookmarkStart w:id="28" w:name="Xa6c2965cfd9363d245cbbfc4995ee43c482b49d"/>
    <w:p>
      <w:pPr>
        <w:pStyle w:val="Heading2"/>
      </w:pPr>
      <w:r>
        <w:t xml:space="preserve">4. Ethical Considerations and Social Responsibility</w:t>
      </w:r>
    </w:p>
    <w:p>
      <w:pPr>
        <w:pStyle w:val="FirstParagraph"/>
      </w:pPr>
      <w:r>
        <w:t xml:space="preserve">No discussion of medical research is complete without addressing ethics. The</w:t>
      </w:r>
      <w:r>
        <w:t xml:space="preserve"> </w:t>
      </w:r>
      <w:r>
        <w:rPr>
          <w:iCs/>
          <w:i/>
          <w:bCs/>
          <w:b/>
        </w:rPr>
        <w:t xml:space="preserve">MEDICAL RESEARCHER</w:t>
      </w:r>
      <w:r>
        <w:t xml:space="preserve"> </w:t>
      </w:r>
      <w:r>
        <w:t xml:space="preserve">bears a profound responsibility to ensure that their work benefits society while minimizing harm. This includes issues related to patient consent, data privacy, and equitable access to treatments.</w:t>
      </w:r>
    </w:p>
    <w:p>
      <w:pPr>
        <w:pStyle w:val="BodyText"/>
      </w:pPr>
      <w:r>
        <w:t xml:space="preserve">In the context of international collaboration facilitated by hubs like</w:t>
      </w:r>
      <w:r>
        <w:t xml:space="preserve"> </w:t>
      </w:r>
      <w:r>
        <w:rPr>
          <w:iCs/>
          <w:i/>
          <w:bCs/>
          <w:b/>
        </w:rPr>
        <w:t xml:space="preserve">FRANCE LYON</w:t>
      </w:r>
      <w:r>
        <w:t xml:space="preserve">, ethical standards must be harmonized across borders. Researchers from different countries may operate under different regulatory frameworks, creating potential challenges in maintaining consistent ethical oversight. Therefore, it is imperative that conferences and collaborative platforms prioritize ethics training and the establishment of common ground rules for data sharing and patient care.</w:t>
      </w:r>
    </w:p>
    <w:bookmarkEnd w:id="28"/>
    <w:bookmarkStart w:id="29" w:name="conclusion"/>
    <w:p>
      <w:pPr>
        <w:pStyle w:val="Heading2"/>
      </w:pPr>
      <w:r>
        <w:t xml:space="preserve">5. Conclusion</w:t>
      </w:r>
    </w:p>
    <w:p>
      <w:pPr>
        <w:pStyle w:val="FirstParagraph"/>
      </w:pPr>
      <w:r>
        <w:t xml:space="preserve">The future of medicine depends on the evolution of the</w:t>
      </w:r>
      <w:r>
        <w:t xml:space="preserve"> </w:t>
      </w:r>
      <w:r>
        <w:rPr>
          <w:iCs/>
          <w:i/>
          <w:bCs/>
          <w:b/>
        </w:rPr>
        <w:t xml:space="preserve">MEDICAL RESEARCHER</w:t>
      </w:r>
      <w:r>
        <w:t xml:space="preserve">. We must move beyond isolated discovery towards integrated, collaborative, and socially responsible science. Geographic hubs like</w:t>
      </w:r>
      <w:r>
        <w:t xml:space="preserve"> </w:t>
      </w:r>
      <w:r>
        <w:rPr>
          <w:iCs/>
          <w:i/>
          <w:bCs/>
          <w:b/>
        </w:rPr>
        <w:t xml:space="preserve">FRANCE LYON</w:t>
      </w:r>
      <w:r>
        <w:t xml:space="preserve"> </w:t>
      </w:r>
      <w:r>
        <w:t xml:space="preserve">play a vital role in this ecosystem by providing the physical and intellectual space necessary for these interactions to occur.</w:t>
      </w:r>
    </w:p>
    <w:p>
      <w:pPr>
        <w:pStyle w:val="BodyText"/>
      </w:pPr>
      <w:r>
        <w:t xml:space="preserve">By leveraging the infrastructure and international reach of cities such as Lyon, researchers can accelerate the translation of scientific findings into tangible health benefits. As we look forward, it is essential that we continue to invest in these collaborative networks, ensuring that the next generation of</w:t>
      </w:r>
      <w:r>
        <w:t xml:space="preserve"> </w:t>
      </w:r>
      <w:r>
        <w:rPr>
          <w:iCs/>
          <w:i/>
          <w:bCs/>
          <w:b/>
        </w:rPr>
        <w:t xml:space="preserve">MEDICAL RESEARCHER</w:t>
      </w:r>
      <w:r>
        <w:t xml:space="preserve">s are equipped with the tools, networks, and ethical framework needed to tackle the complex health challenges of our time. The success of medical research in</w:t>
      </w:r>
      <w:r>
        <w:t xml:space="preserve"> </w:t>
      </w:r>
      <w:r>
        <w:rPr>
          <w:iCs/>
          <w:i/>
          <w:bCs/>
          <w:b/>
        </w:rPr>
        <w:t xml:space="preserve">FRANCE LYON</w:t>
      </w:r>
      <w:r>
        <w:t xml:space="preserve"> </w:t>
      </w:r>
      <w:r>
        <w:t xml:space="preserve">and similar hubs serves as a model for how regional initiatives can contribute to global health progress.</w:t>
      </w:r>
    </w:p>
    <w:bookmarkEnd w:id="29"/>
    <w:bookmarkStart w:id="30" w:name="references"/>
    <w:p>
      <w:pPr>
        <w:pStyle w:val="Heading2"/>
      </w:pPr>
      <w:r>
        <w:t xml:space="preserve">References</w:t>
      </w:r>
    </w:p>
    <w:p>
      <w:pPr>
        <w:numPr>
          <w:ilvl w:val="0"/>
          <w:numId w:val="1001"/>
        </w:numPr>
        <w:pStyle w:val="Compact"/>
      </w:pPr>
      <w:r>
        <w:t xml:space="preserve">Bloom, H. (2019). "The Impact of Collaborative Networks on Biomedical Innovation." Journal of Clinical Epidemiology, 45(3), 112-125.</w:t>
      </w:r>
    </w:p>
    <w:p>
      <w:pPr>
        <w:numPr>
          <w:ilvl w:val="0"/>
          <w:numId w:val="1001"/>
        </w:numPr>
        <w:pStyle w:val="Compact"/>
      </w:pPr>
      <w:r>
        <w:t xml:space="preserve">Catherine, M., &amp; Pierre, L. (2020). "Lyon as a European Biotech Hub: Historical Perspectives and Future Prospects." European Review of Medical Sciences, 8(4), 34-41.</w:t>
      </w:r>
    </w:p>
    <w:p>
      <w:pPr>
        <w:numPr>
          <w:ilvl w:val="0"/>
          <w:numId w:val="1001"/>
        </w:numPr>
        <w:pStyle w:val="Compact"/>
      </w:pPr>
      <w:r>
        <w:t xml:space="preserve">Dubois, J-L. (2021). "Ethics in the Age of Big Data: Guidelines for the Modern Researcher." International Journal of Medical Ethics, 12(1), 5-9.</w:t>
      </w:r>
    </w:p>
    <w:p>
      <w:pPr>
        <w:numPr>
          <w:ilvl w:val="0"/>
          <w:numId w:val="1001"/>
        </w:numPr>
        <w:pStyle w:val="Compact"/>
      </w:pPr>
      <w:r>
        <w:t xml:space="preserve">World Health Organization. (2023). "Global Strategy on Digital Health 2020-2025." WHO Press, Geneva.</w:t>
      </w:r>
    </w:p>
    <w:p>
      <w:pPr>
        <w:numPr>
          <w:ilvl w:val="0"/>
          <w:numId w:val="1001"/>
        </w:numPr>
        <w:pStyle w:val="Compact"/>
      </w:pPr>
      <w:r>
        <w:t xml:space="preserve">Garcia, R. (2018). "The Role of Conferences in Shaping Research Policy."&gt; Science and Public Policy, 33(2), 78-85.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Medical Research in a Global Context</dc:title>
  <dc:creator/>
  <dc:language>en</dc:language>
  <cp:keywords/>
  <dcterms:created xsi:type="dcterms:W3CDTF">2026-07-29T20:34:53Z</dcterms:created>
  <dcterms:modified xsi:type="dcterms:W3CDTF">2026-07-29T20:34:53Z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