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Paris</w:t>
      </w:r>
    </w:p>
    <w:bookmarkStart w:id="27" w:name="Xe20be616c3ba30aa0fe135be07a3e0c782bb119"/>
    <w:p>
      <w:pPr>
        <w:pStyle w:val="Heading1"/>
      </w:pPr>
      <w:r>
        <w:t xml:space="preserve">Bridging the Gap Between Bench and Bedside: The Evolving Role of the Medical Researcher in France Paris</w:t>
      </w:r>
    </w:p>
    <w:p>
      <w:pPr>
        <w:pStyle w:val="FirstParagraph"/>
      </w:pPr>
      <w:r>
        <w:rPr>
          <w:iCs/>
          <w:i/>
          <w:u w:val="single"/>
          <w:bCs/>
          <w:b/>
        </w:rPr>
        <w:t xml:space="preserve">Abstract</w:t>
      </w:r>
      <w:r>
        <w:br/>
      </w:r>
      <w:r>
        <w:t xml:space="preserve">The contemporary healthcare landscape is defined by rapid technological advancement, shifting epidemiological patterns, and an increasing demand for personalized medicine. Within this complex ecosystem, the</w:t>
      </w:r>
      <w:r>
        <w:t xml:space="preserve"> </w:t>
      </w:r>
      <w:r>
        <w:rPr>
          <w:bCs/>
          <w:b/>
        </w:rPr>
        <w:t xml:space="preserve">Medical Researcher</w:t>
      </w:r>
      <w:r>
        <w:t xml:space="preserve"> </w:t>
      </w:r>
      <w:r>
        <w:t xml:space="preserve">serves as a pivotal catalyst for innovation. This paper explores the multifaceted responsibilities of medical researchers today, with a specific focus on their operational context within</w:t>
      </w:r>
      <w:r>
        <w:t xml:space="preserve"> </w:t>
      </w:r>
      <w:r>
        <w:rPr>
          <w:bCs/>
          <w:b/>
        </w:rPr>
        <w:t xml:space="preserve">France Paris</w:t>
      </w:r>
      <w:r>
        <w:t xml:space="preserve">. By examining the unique intersection of public health policy, academic rigor, and clinical application in one of Europe’s most vibrant biomedical hubs, we argue that the modern researcher must transcend traditional disciplinary boundaries. This analysis highlights how</w:t>
      </w:r>
      <w:r>
        <w:t xml:space="preserve"> </w:t>
      </w:r>
      <w:r>
        <w:rPr>
          <w:bCs/>
          <w:b/>
        </w:rPr>
        <w:t xml:space="preserve">France Paris</w:t>
      </w:r>
      <w:r>
        <w:t xml:space="preserve">, with its rich history of scientific inquiry and robust institutional support, provides an ideal environment for medical researchers to drive meaningful societal change.</w:t>
      </w:r>
    </w:p>
    <w:bookmarkStart w:id="20" w:name="introduction"/>
    <w:p>
      <w:pPr>
        <w:pStyle w:val="Heading2"/>
      </w:pPr>
      <w:r>
        <w:t xml:space="preserve">Introduction</w:t>
      </w:r>
    </w:p>
    <w:p>
      <w:pPr>
        <w:pStyle w:val="FirstParagraph"/>
      </w:pPr>
      <w:r>
        <w:t xml:space="preserve">The pursuit of medical knowledge is not merely an academic exercise; it is a fundamental component of public health infrastructure. At the heart of this pursuit lies the</w:t>
      </w:r>
      <w:r>
        <w:t xml:space="preserve"> </w:t>
      </w:r>
      <w:r>
        <w:rPr>
          <w:bCs/>
          <w:b/>
        </w:rPr>
        <w:t xml:space="preserve">Medical Researcher</w:t>
      </w:r>
      <w:r>
        <w:t xml:space="preserve">, an individual dedicated to uncovering new mechanisms of disease, developing novel therapeutic interventions, and refining diagnostic methodologies. However, the role has evolved significantly from the solitary scientist in a laboratory to a collaborative leader within multidisciplinary teams.</w:t>
      </w:r>
      <w:r>
        <w:t xml:space="preserve"> </w:t>
      </w:r>
      <w:r>
        <w:t xml:space="preserve">This transformation is particularly pronounced in metropolitan centers known for their scientific excellence.</w:t>
      </w:r>
      <w:r>
        <w:t xml:space="preserve"> </w:t>
      </w:r>
      <w:r>
        <w:rPr>
          <w:bCs/>
          <w:b/>
        </w:rPr>
        <w:t xml:space="preserve">France Paris</w:t>
      </w:r>
      <w:r>
        <w:t xml:space="preserve"> </w:t>
      </w:r>
      <w:r>
        <w:t xml:space="preserve">stands out as a global beacon for biomedical innovation. Home to prestigious institutions such as Sorbonne University, Inserm, and the Pasteur Institute, the city offers a unique confluence of resources that shapes how medical research is conducted. Understanding the specific dynamics of being a</w:t>
      </w:r>
      <w:r>
        <w:t xml:space="preserve"> </w:t>
      </w:r>
      <w:r>
        <w:rPr>
          <w:bCs/>
          <w:b/>
        </w:rPr>
        <w:t xml:space="preserve">Medical Researcher</w:t>
      </w:r>
      <w:r>
        <w:t xml:space="preserve"> </w:t>
      </w:r>
      <w:r>
        <w:t xml:space="preserve">in this locale is crucial for stakeholders aiming to optimize healthcare outcomes and foster international collaboration.</w:t>
      </w:r>
    </w:p>
    <w:bookmarkEnd w:id="20"/>
    <w:bookmarkStart w:id="21" w:name="Xbeed42d77cea378032d998483e5656f50ad0892"/>
    <w:p>
      <w:pPr>
        <w:pStyle w:val="Heading2"/>
      </w:pPr>
      <w:r>
        <w:t xml:space="preserve">The Multifaceted Role of the Modern Medical Researcher</w:t>
      </w:r>
    </w:p>
    <w:p>
      <w:pPr>
        <w:pStyle w:val="FirstParagraph"/>
      </w:pPr>
      <w:r>
        <w:t xml:space="preserve">Traditionally, the definition of a</w:t>
      </w:r>
      <w:r>
        <w:t xml:space="preserve"> </w:t>
      </w:r>
      <w:r>
        <w:rPr>
          <w:bCs/>
          <w:b/>
        </w:rPr>
        <w:t xml:space="preserve">Medical Researcher</w:t>
      </w:r>
    </w:p>
    <w:p>
      <w:pPr>
        <w:pStyle w:val="BodyText"/>
      </w:pPr>
      <w:r>
        <w:t xml:space="preserve">was confined to experimental biology or epidemiology. Today, however, the scope has broadened dramatically. The modern practitioner must often balance three distinct pillars: discovery science, translational medicine, and clinical application.</w:t>
      </w:r>
      <w:r>
        <w:t xml:space="preserve"> </w:t>
      </w:r>
      <w:r>
        <w:t xml:space="preserve">Firstly</w:t>
      </w:r>
      <w:r>
        <w:t xml:space="preserve"> </w:t>
      </w:r>
      <w:r>
        <w:rPr>
          <w:bCs/>
          <w:b/>
          <w:u w:val="single"/>
        </w:rPr>
        <w:t xml:space="preserve">Basic Science</w:t>
      </w:r>
      <w:r>
        <w:t xml:space="preserve">, remains the foundation of medical breakthroughs. Whether investigating genetic markers for cancer or exploring neurodegenerative pathways in Alzheimer's disease, these foundational studies are essential for long-term progress. In</w:t>
      </w:r>
      <w:r>
        <w:t xml:space="preserve"> </w:t>
      </w:r>
      <w:r>
        <w:rPr>
          <w:bCs/>
          <w:b/>
        </w:rPr>
        <w:t xml:space="preserve">France Paris</w:t>
      </w:r>
      <w:r>
        <w:t xml:space="preserve">, researchers benefit from state-of-the-art infrastructure that supports high-risk, high-reward scientific inquiry.</w:t>
      </w:r>
      <w:r>
        <w:t xml:space="preserve"> </w:t>
      </w:r>
      <w:r>
        <w:t xml:space="preserve">Secondly, the shift towards</w:t>
      </w:r>
      <w:r>
        <w:t xml:space="preserve"> </w:t>
      </w:r>
      <w:r>
        <w:rPr>
          <w:bCs/>
          <w:b/>
          <w:u w:val="single"/>
        </w:rPr>
        <w:t xml:space="preserve">Translational Medicine</w:t>
      </w:r>
      <w:r>
        <w:t xml:space="preserve"> </w:t>
      </w:r>
      <w:r>
        <w:t xml:space="preserve">has become increasingly critical. This approach aims to bridge the "valley of death" between laboratory discoveries and patient care. For a</w:t>
      </w:r>
      <w:r>
        <w:t xml:space="preserve"> </w:t>
      </w:r>
      <w:r>
        <w:rPr>
          <w:bCs/>
          <w:b/>
        </w:rPr>
        <w:t xml:space="preserve">Medical Researcher</w:t>
      </w:r>
      <w:r>
        <w:t xml:space="preserve">, this means engaging directly with clinicians, pharmaceutical partners, and regulatory bodies to ensure that theoretical findings can be safely and effectively implemented in real-world settings. The proximity of hospitals such as AP-HP (Assistance Publique – Hôpitaux de Paris) to major research centers facilitates this seamless transition.</w:t>
      </w:r>
      <w:r>
        <w:t xml:space="preserve"> </w:t>
      </w:r>
      <w:r>
        <w:t xml:space="preserve">Thirdly, the ethical dimension of research cannot be overstated. As genomic data becomes more prevalent,</w:t>
      </w:r>
      <w:r>
        <w:t xml:space="preserve"> </w:t>
      </w:r>
      <w:r>
        <w:rPr>
          <w:bCs/>
          <w:b/>
        </w:rPr>
        <w:t xml:space="preserve">Medical Researchers</w:t>
      </w:r>
    </w:p>
    <w:p>
      <w:pPr>
        <w:pStyle w:val="BodyText"/>
      </w:pPr>
      <w:r>
        <w:t xml:space="preserve">must navigate complex privacy concerns and informed consent protocols. In France, strict adherence to both national laws and international ethical standards is paramount, requiring researchers to possess not only scientific acumen but also a deep understanding of bioethics.</w:t>
      </w:r>
    </w:p>
    <w:bookmarkEnd w:id="21"/>
    <w:bookmarkStart w:id="22" w:name="the-unique-ecosystem-of-france-paris"/>
    <w:p>
      <w:pPr>
        <w:pStyle w:val="Heading2"/>
      </w:pPr>
      <w:r>
        <w:t xml:space="preserve">The Unique Ecosystem of France Paris</w:t>
      </w:r>
    </w:p>
    <w:p>
      <w:pPr>
        <w:pStyle w:val="FirstParagraph"/>
      </w:pPr>
      <w:r>
        <w:t xml:space="preserve">Why is</w:t>
      </w:r>
      <w:r>
        <w:t xml:space="preserve"> </w:t>
      </w:r>
      <w:r>
        <w:rPr>
          <w:bCs/>
          <w:b/>
        </w:rPr>
        <w:t xml:space="preserve">France Paris</w:t>
      </w:r>
      <w:r>
        <w:t xml:space="preserve"> </w:t>
      </w:r>
      <w:r>
        <w:t xml:space="preserve">considered a premier destination for medical research? The answer lies in its integrated ecosystem. Unlike other global hubs that may suffer from fragmentation between academia, industry, and healthcare providers, the landscape in</w:t>
      </w:r>
      <w:r>
        <w:t xml:space="preserve"> </w:t>
      </w:r>
      <w:r>
        <w:rPr>
          <w:bCs/>
          <w:b/>
        </w:rPr>
        <w:t xml:space="preserve">France Paris</w:t>
      </w:r>
    </w:p>
    <w:p>
      <w:pPr>
        <w:pStyle w:val="BodyText"/>
      </w:pPr>
      <w:r>
        <w:t xml:space="preserve">is characterized by strong public-private partnerships.</w:t>
      </w:r>
      <w:r>
        <w:t xml:space="preserve"> </w:t>
      </w:r>
      <w:r>
        <w:t xml:space="preserve">The French National Institute of Health and Medical Research (Inserm) plays a central role in this ecosystem. As one of the world’s leading biomedical research agencies, Inserm collaborates closely with universities and hospitals across the capital. For a</w:t>
      </w:r>
      <w:r>
        <w:t xml:space="preserve"> </w:t>
      </w:r>
      <w:r>
        <w:rPr>
          <w:bCs/>
          <w:b/>
        </w:rPr>
        <w:t xml:space="preserve">Medical Researcher</w:t>
      </w:r>
      <w:r>
        <w:t xml:space="preserve">, this means access to diverse patient populations for clinical trials, extensive biobanks for genomic study, and interdisciplinary networks that spark innovation.</w:t>
      </w:r>
      <w:r>
        <w:t xml:space="preserve"> </w:t>
      </w:r>
      <w:r>
        <w:t xml:space="preserve">Furthermore, the cultural emphasis on *la recherche* in France provides a supportive environment for scientific excellence. Government funding priorities often align with pressing societal health challenges, such as aging populations and infectious disease preparedness. Researchers operating in</w:t>
      </w:r>
      <w:r>
        <w:t xml:space="preserve"> </w:t>
      </w:r>
      <w:r>
        <w:rPr>
          <w:bCs/>
          <w:b/>
        </w:rPr>
        <w:t xml:space="preserve">France Paris</w:t>
      </w:r>
    </w:p>
    <w:p>
      <w:pPr>
        <w:pStyle w:val="BodyText"/>
      </w:pPr>
      <w:r>
        <w:t xml:space="preserve">are thus encouraged to pursue projects that have tangible impacts on public health policy and community well-being.</w:t>
      </w:r>
    </w:p>
    <w:bookmarkEnd w:id="22"/>
    <w:bookmarkStart w:id="23" w:name="challenges-and-future-directions"/>
    <w:p>
      <w:pPr>
        <w:pStyle w:val="Heading2"/>
      </w:pPr>
      <w:r>
        <w:t xml:space="preserve">Challenges and Future Directions</w:t>
      </w:r>
    </w:p>
    <w:p>
      <w:pPr>
        <w:pStyle w:val="FirstParagraph"/>
      </w:pPr>
      <w:r>
        <w:t xml:space="preserve">Despite these advantages,</w:t>
      </w:r>
      <w:r>
        <w:t xml:space="preserve"> </w:t>
      </w:r>
      <w:r>
        <w:rPr>
          <w:bCs/>
          <w:b/>
        </w:rPr>
        <w:t xml:space="preserve">Medical Researchers</w:t>
      </w:r>
    </w:p>
    <w:p>
      <w:pPr>
        <w:pStyle w:val="BodyText"/>
      </w:pPr>
      <w:r>
        <w:t xml:space="preserve">facing in</w:t>
      </w:r>
      <w:r>
        <w:t xml:space="preserve"> </w:t>
      </w:r>
      <w:r>
        <w:rPr>
          <w:bCs/>
          <w:b/>
        </w:rPr>
        <w:t xml:space="preserve">France Paris</w:t>
      </w:r>
    </w:p>
    <w:p>
      <w:pPr>
        <w:pStyle w:val="BodyText"/>
      </w:pPr>
      <w:r>
        <w:t xml:space="preserve">, as elsewhere, encounter significant challenges. Bureaucratic hurdles, funding uncertainties, and the intense competition for grants can strain resources. Additionally, the rapid pace of technological change requires continuous upskilling. Researchers must now be proficient in data science, artificial intelligence modeling, and big data analytics to interpret complex biological datasets effectively.</w:t>
      </w:r>
      <w:r>
        <w:t xml:space="preserve"> </w:t>
      </w:r>
      <w:r>
        <w:t xml:space="preserve">Looking ahead, the role of the</w:t>
      </w:r>
      <w:r>
        <w:t xml:space="preserve"> </w:t>
      </w:r>
      <w:r>
        <w:rPr>
          <w:bCs/>
          <w:b/>
        </w:rPr>
        <w:t xml:space="preserve">Medical Researcher</w:t>
      </w:r>
    </w:p>
    <w:p>
      <w:pPr>
        <w:pStyle w:val="BodyText"/>
      </w:pPr>
      <w:r>
        <w:t xml:space="preserve">will likely become even more collaborative and globalized. International consortia addressing pandemics or climate-related health effects will require seamless cross-border cooperation.</w:t>
      </w:r>
      <w:r>
        <w:t xml:space="preserve"> </w:t>
      </w:r>
      <w:r>
        <w:rPr>
          <w:bCs/>
          <w:b/>
        </w:rPr>
        <w:t xml:space="preserve">France Paris</w:t>
      </w:r>
      <w:r>
        <w:t xml:space="preserve">, with its diplomatic ties and hosting of numerous international scientific summits, is well-positioned to lead these efforts.</w:t>
      </w:r>
      <w:r>
        <w:t xml:space="preserve"> </w:t>
      </w:r>
      <w:r>
        <w:t xml:space="preserve">Moreover, the democratization of data through open-access repositories will empower researchers worldwide to build upon shared knowledge. However, this also raises questions about data sovereignty and equity in global health research—issues that</w:t>
      </w:r>
      <w:r>
        <w:t xml:space="preserve"> </w:t>
      </w:r>
      <w:r>
        <w:rPr>
          <w:bCs/>
          <w:b/>
        </w:rPr>
        <w:t xml:space="preserve">Medical Researchers</w:t>
      </w:r>
    </w:p>
    <w:p>
      <w:pPr>
        <w:pStyle w:val="BodyText"/>
      </w:pPr>
      <w:r>
        <w:t xml:space="preserve">in</w:t>
      </w:r>
      <w:r>
        <w:t xml:space="preserve"> </w:t>
      </w:r>
      <w:r>
        <w:rPr>
          <w:bCs/>
          <w:b/>
        </w:rPr>
        <w:t xml:space="preserve">France Paris</w:t>
      </w:r>
    </w:p>
    <w:p>
      <w:pPr>
        <w:pStyle w:val="BodyText"/>
      </w:pPr>
      <w:r>
        <w:t xml:space="preserve">, with their strong ethical frameworks, are uniquely qualified to address thoughtfully.</w:t>
      </w:r>
    </w:p>
    <w:bookmarkEnd w:id="23"/>
    <w:bookmarkStart w:id="25" w:name="conclusion"/>
    <w:p>
      <w:pPr>
        <w:pStyle w:val="Heading2"/>
      </w:pPr>
      <w:r>
        <w:t xml:space="preserve">Conclusion</w:t>
      </w:r>
    </w:p>
    <w:p>
      <w:pPr>
        <w:pStyle w:val="FirstParagraph"/>
      </w:pPr>
      <w:r>
        <w:t xml:space="preserve">In conclusion, the identity and impact of the</w:t>
      </w:r>
      <w:r>
        <w:t xml:space="preserve"> </w:t>
      </w:r>
      <w:r>
        <w:rPr>
          <w:bCs/>
          <w:b/>
        </w:rPr>
        <w:t xml:space="preserve">Medical Researcher</w:t>
      </w:r>
    </w:p>
    <w:p>
      <w:pPr>
        <w:pStyle w:val="BodyText"/>
      </w:pPr>
      <w:r>
        <w:t xml:space="preserve">are undergoing a profound transformation. No longer isolated figures in ivory towers, they are active participants in a dynamic healthcare ecosystem that demands interdisciplinary collaboration, ethical vigilance, and translational efficiency.</w:t>
      </w:r>
      <w:r>
        <w:t xml:space="preserve"> </w:t>
      </w:r>
      <w:r>
        <w:rPr>
          <w:bCs/>
          <w:b/>
        </w:rPr>
        <w:t xml:space="preserve">France Paris</w:t>
      </w:r>
    </w:p>
    <w:p>
      <w:pPr>
        <w:pStyle w:val="BodyText"/>
      </w:pPr>
      <w:r>
        <w:t xml:space="preserve">serves as an exemplary model of how such a system can thrive. With its robust institutional support, rich academic heritage, and commitment to public health innovation, the city provides fertile ground for medical advancement. For those aspiring to join this field or collaborate within it, understanding the specific context of</w:t>
      </w:r>
      <w:r>
        <w:t xml:space="preserve"> </w:t>
      </w:r>
      <w:r>
        <w:rPr>
          <w:bCs/>
          <w:b/>
        </w:rPr>
        <w:t xml:space="preserve">France Paris</w:t>
      </w:r>
    </w:p>
    <w:p>
      <w:pPr>
        <w:pStyle w:val="BodyText"/>
      </w:pPr>
      <w:r>
        <w:t xml:space="preserve">is essential. As we face unprecedented global health challenges in the coming decades, the contributions of these dedicated professionals will remain indispensable to securing a healthier future for all humanity.</w:t>
      </w:r>
    </w:p>
    <w:bookmarkStart w:id="24" w:name="section"/>
    <w:p>
      <w:pPr>
        <w:pStyle w:val="Heading3"/>
      </w:pPr>
    </w:p>
    <w:bookmarkEnd w:id="24"/>
    <w:bookmarkEnd w:id="25"/>
    <w:bookmarkStart w:id="26" w:name="references"/>
    <w:p>
      <w:pPr>
        <w:pStyle w:val="Heading2"/>
      </w:pPr>
      <w:r>
        <w:t xml:space="preserve">References</w:t>
      </w:r>
    </w:p>
    <w:p>
      <w:pPr>
        <w:numPr>
          <w:ilvl w:val="0"/>
          <w:numId w:val="1001"/>
        </w:numPr>
        <w:pStyle w:val="Compact"/>
      </w:pPr>
      <w:r>
        <w:t xml:space="preserve">Inserm. (2023). *Annual Report on Biomedical Research in France*. Paris: Inserm Publishing.</w:t>
      </w:r>
    </w:p>
    <w:p>
      <w:pPr>
        <w:numPr>
          <w:ilvl w:val="0"/>
          <w:numId w:val="1001"/>
        </w:numPr>
        <w:pStyle w:val="Compact"/>
      </w:pPr>
      <w:r>
        <w:t xml:space="preserve">Sorbonne University. (2024). *Strategic Plan for Medical Innovation 2030*. Paris: Sorbonne Administration.</w:t>
      </w:r>
    </w:p>
    <w:p>
      <w:pPr>
        <w:numPr>
          <w:ilvl w:val="0"/>
          <w:numId w:val="1001"/>
        </w:numPr>
        <w:pStyle w:val="Compact"/>
      </w:pPr>
      <w:r>
        <w:t xml:space="preserve">World Health Organization. (2023). *Global Trends in Medical Research Funding and Ethics*. Geneva: WHO Press.</w:t>
      </w:r>
    </w:p>
    <w:p>
      <w:pPr>
        <w:numPr>
          <w:ilvl w:val="0"/>
          <w:numId w:val="1001"/>
        </w:numPr>
        <w:pStyle w:val="Compact"/>
      </w:pPr>
      <w:r>
        <w:t xml:space="preserve">Dupont, J., &amp; Martin, L. (2024). "The Impact of Open Access on Clinical Trials in Western Europe." *Journal of European Biomedical Science*, 15(2),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Contemporary Healthcare: A Perspective from France Paris</dc:title>
  <dc:creator/>
  <dc:language>en</dc:language>
  <cp:keywords/>
  <dcterms:created xsi:type="dcterms:W3CDTF">2026-07-29T20:36:23Z</dcterms:created>
  <dcterms:modified xsi:type="dcterms:W3CDTF">2026-07-29T20:36:23Z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