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Frankfurt:</w:t>
      </w:r>
      <w:r>
        <w:t xml:space="preserve"> </w:t>
      </w:r>
      <w:r>
        <w:t xml:space="preserve">Bridging</w:t>
      </w:r>
      <w:r>
        <w:t xml:space="preserve"> </w:t>
      </w:r>
      <w:r>
        <w:t xml:space="preserve">Academia,</w:t>
      </w:r>
      <w:r>
        <w:t xml:space="preserve"> </w:t>
      </w:r>
      <w:r>
        <w:t xml:space="preserve">Industry,</w:t>
      </w:r>
      <w:r>
        <w:t xml:space="preserve"> </w:t>
      </w:r>
      <w:r>
        <w:t xml:space="preserve">and</w:t>
      </w:r>
      <w:r>
        <w:t xml:space="preserve"> </w:t>
      </w:r>
      <w:r>
        <w:t xml:space="preserve">Clinical</w:t>
      </w:r>
      <w:r>
        <w:t xml:space="preserve"> </w:t>
      </w:r>
      <w:r>
        <w:t xml:space="preserve">Practice</w:t>
      </w:r>
    </w:p>
    <w:bookmarkStart w:id="27" w:name="X561f9dd78d6d924c74366eccb4d308a572b4047"/>
    <w:p>
      <w:pPr>
        <w:pStyle w:val="Heading1"/>
      </w:pPr>
      <w:r>
        <w:t xml:space="preserve">The Evolving Role of the Medical Researcher in Germany Frankfurt: Bridging Academia, Industry, and Clinical Practice</w:t>
      </w:r>
    </w:p>
    <w:p>
      <w:pPr>
        <w:pStyle w:val="FirstParagraph"/>
      </w:pPr>
      <w:r>
        <w:rPr>
          <w:bCs/>
          <w:b/>
        </w:rPr>
        <w:t xml:space="preserve">Abstract:</w:t>
      </w:r>
    </w:p>
    <w:p>
      <w:pPr>
        <w:pStyle w:val="BodyText"/>
      </w:pPr>
      <w:r>
        <w:t xml:space="preserve">This paper examines the critical intersection of medical research, academic integrity, and industrial application within the specific context of Germany Frankfurt. As a global financial hub that has aggressively positioned itself as a life-science cluster, Germany Frankfurt presents a unique ecosystem for the modern Medical Researcher. This study analyzes how researchers in this region navigate regulatory frameworks (such as GDPR and EU Clinical Trials Regulation), leverage public-private partnerships, and address the ethical imperatives of translational medicine. The findings suggest that success in Germany Frankfurt requires a multidisciplinary approach where academic rigor meets commercial viability.</w:t>
      </w:r>
    </w:p>
    <w:bookmarkStart w:id="20" w:name="introduction"/>
    <w:p>
      <w:pPr>
        <w:pStyle w:val="Heading2"/>
      </w:pPr>
      <w:r>
        <w:t xml:space="preserve">1. Introduction</w:t>
      </w:r>
    </w:p>
    <w:p>
      <w:pPr>
        <w:pStyle w:val="FirstParagraph"/>
      </w:pPr>
      <w:r>
        <w:t xml:space="preserve">The landscape of modern medical research is undergoing a profound transformation, driven by rapid technological advancements, shifting demographic patterns, and the urgent need for efficient healthcare delivery systems. Within this global context,</w:t>
      </w:r>
      <w:r>
        <w:t xml:space="preserve"> </w:t>
      </w:r>
      <w:r>
        <w:rPr>
          <w:bCs/>
          <w:b/>
        </w:rPr>
        <w:t xml:space="preserve">Germany Frankfurt</w:t>
      </w:r>
    </w:p>
    <w:p>
      <w:pPr>
        <w:pStyle w:val="BodyText"/>
      </w:pPr>
      <w:r>
        <w:t xml:space="preserve">presents a particularly compelling case study. Located in the heart of Europe and home to one of the continent’s most significant financial centers,</w:t>
      </w:r>
      <w:r>
        <w:t xml:space="preserve"> </w:t>
      </w:r>
      <w:r>
        <w:rPr>
          <w:bCs/>
          <w:b/>
        </w:rPr>
        <w:t xml:space="preserve">Germany Frankfurt</w:t>
      </w:r>
      <w:r>
        <w:t xml:space="preserve"> </w:t>
      </w:r>
      <w:r>
        <w:t xml:space="preserve">has inadvertently become a nexus for biotechnology and pharmaceutical innovation. The presence of major institutions such as Goethe University Frankfurt, the University Hospital (Universitätsklinikum), and numerous headquarters from global pharma giants like Merck KGaA creates a fertile ground for high-impact science.</w:t>
      </w:r>
    </w:p>
    <w:p>
      <w:pPr>
        <w:pStyle w:val="BodyText"/>
      </w:pPr>
      <w:r>
        <w:t xml:space="preserve">The primary objective of this</w:t>
      </w:r>
      <w:r>
        <w:t xml:space="preserve"> </w:t>
      </w:r>
      <w:r>
        <w:rPr>
          <w:bCs/>
          <w:b/>
        </w:rPr>
        <w:t xml:space="preserve">Conference Paper</w:t>
      </w:r>
    </w:p>
    <w:p>
      <w:pPr>
        <w:pStyle w:val="BodyText"/>
      </w:pPr>
      <w:r>
        <w:t xml:space="preserve">is to define the contemporary role of the</w:t>
      </w:r>
      <w:r>
        <w:t xml:space="preserve"> </w:t>
      </w:r>
      <w:r>
        <w:rPr>
          <w:bCs/>
          <w:b/>
        </w:rPr>
        <w:t xml:space="preserve">Medical Researcher</w:t>
      </w:r>
    </w:p>
    <w:p>
      <w:pPr>
        <w:pStyle w:val="BodyText"/>
      </w:pPr>
      <w:r>
        <w:t xml:space="preserve">operating within this specific geographical and economic environment. It is no longer sufficient for a researcher to merely publish findings in high-impact journals. In</w:t>
      </w:r>
      <w:r>
        <w:t xml:space="preserve"> </w:t>
      </w:r>
      <w:r>
        <w:rPr>
          <w:bCs/>
          <w:b/>
        </w:rPr>
        <w:t xml:space="preserve">Germany Frankfurt</w:t>
      </w:r>
      <w:r>
        <w:t xml:space="preserve">, the expectation is increasingly one of translational capability—the ability to move discoveries from the benchtop to the bedside, and ultimately, into market-ready therapies.</w:t>
      </w:r>
    </w:p>
    <w:bookmarkEnd w:id="20"/>
    <w:bookmarkStart w:id="21" w:name="X223423732b93e7e1da0aa77a23400c383019bf2"/>
    <w:p>
      <w:pPr>
        <w:pStyle w:val="Heading2"/>
      </w:pPr>
      <w:r>
        <w:t xml:space="preserve">2. The German Regulatory and Ethical Landscape</w:t>
      </w:r>
    </w:p>
    <w:p>
      <w:pPr>
        <w:pStyle w:val="FirstParagraph"/>
      </w:pPr>
      <w:r>
        <w:t xml:space="preserve">A fundamental aspect of being a</w:t>
      </w:r>
      <w:r>
        <w:t xml:space="preserve"> </w:t>
      </w:r>
      <w:r>
        <w:rPr>
          <w:bCs/>
          <w:b/>
        </w:rPr>
        <w:t xml:space="preserve">Medical Researcher</w:t>
      </w:r>
    </w:p>
    <w:p>
      <w:pPr>
        <w:pStyle w:val="BodyText"/>
      </w:pPr>
      <w:r>
        <w:t xml:space="preserve">in Germany is navigating one of the world’s most stringent regulatory environments. The European Union’s General Data Protection Regulation (GDPR) and the EU Clinical Trials Regulation (CTR) impose rigorous standards on data handling and patient consent. For researchers in</w:t>
      </w:r>
      <w:r>
        <w:t xml:space="preserve"> </w:t>
      </w:r>
      <w:r>
        <w:rPr>
          <w:bCs/>
          <w:b/>
        </w:rPr>
        <w:t xml:space="preserve">Germany Frankfurt</w:t>
      </w:r>
      <w:r>
        <w:t xml:space="preserve">, compliance is not merely a bureaucratic hurdle; it is a core component of ethical practice.</w:t>
      </w:r>
    </w:p>
    <w:p>
      <w:pPr>
        <w:pStyle w:val="BodyText"/>
      </w:pPr>
      <w:r>
        <w:t xml:space="preserve">The dual certification system in Germany, where both federal states and federal bodies share regulatory responsibilities, adds complexity. A</w:t>
      </w:r>
      <w:r>
        <w:t xml:space="preserve"> </w:t>
      </w:r>
      <w:r>
        <w:rPr>
          <w:bCs/>
          <w:b/>
        </w:rPr>
        <w:t xml:space="preserve">Medical Researcher</w:t>
      </w:r>
    </w:p>
    <w:p>
      <w:pPr>
        <w:pStyle w:val="BodyText"/>
      </w:pPr>
      <w:r>
        <w:t xml:space="preserve">must possess deep legal literacy to ensure that their work meets the standards set by the Paul-Ehrlich-Institut (PEI) or the Federal Institute for Drugs and Medical Devices (BfArM). In</w:t>
      </w:r>
      <w:r>
        <w:t xml:space="preserve"> </w:t>
      </w:r>
      <w:r>
        <w:rPr>
          <w:bCs/>
          <w:b/>
        </w:rPr>
        <w:t xml:space="preserve">Germany Frankfurt</w:t>
      </w:r>
      <w:r>
        <w:t xml:space="preserve">, where cross-border collaboration is common, researchers must also harmonize these national requirements with international standards, particularly when engaging with partners in Switzerland or other EU member states.</w:t>
      </w:r>
    </w:p>
    <w:bookmarkEnd w:id="21"/>
    <w:bookmarkStart w:id="22" w:name="X3ed5effac93600fb8721478b8a77dbde6067e28"/>
    <w:p>
      <w:pPr>
        <w:pStyle w:val="Heading2"/>
      </w:pPr>
      <w:r>
        <w:t xml:space="preserve">3. The Trinity Model: Academia, Industry, and Hospital Care</w:t>
      </w:r>
    </w:p>
    <w:p>
      <w:pPr>
        <w:pStyle w:val="FirstParagraph"/>
      </w:pPr>
      <w:r>
        <w:t xml:space="preserve">The unique advantage of the</w:t>
      </w:r>
      <w:r>
        <w:t xml:space="preserve"> </w:t>
      </w:r>
      <w:r>
        <w:rPr>
          <w:bCs/>
          <w:b/>
        </w:rPr>
        <w:t xml:space="preserve">Germany Frankfurt</w:t>
      </w:r>
    </w:p>
    <w:p>
      <w:pPr>
        <w:pStyle w:val="BodyText"/>
      </w:pPr>
      <w:r>
        <w:t xml:space="preserve">e cluster is the "Trinity Model," characterized by close proximity between academic institutions (Goethe University), industrial players (pharmaceutical headquarters), and clinical care providers (University Hospital). This physical and intellectual closeness facilitates what is often termed the "Triple Helix" model of innovation.</w:t>
      </w:r>
    </w:p>
    <w:p>
      <w:pPr>
        <w:pStyle w:val="BodyText"/>
      </w:pPr>
      <w:r>
        <w:t xml:space="preserve">For the modern</w:t>
      </w:r>
      <w:r>
        <w:t xml:space="preserve"> </w:t>
      </w:r>
      <w:r>
        <w:rPr>
          <w:bCs/>
          <w:b/>
        </w:rPr>
        <w:t xml:space="preserve">Medical Researcher</w:t>
      </w:r>
    </w:p>
    <w:p>
      <w:pPr>
        <w:pStyle w:val="BodyText"/>
      </w:pPr>
      <w:r>
        <w:t xml:space="preserve">, this means that silos are breaking down. Traditional academic research, once focused solely on theoretical knowledge, is increasingly integrated with industrial R&amp;D goals. Conversely, industry relies on the foundational science provided by academia to de-risk drug development. The hospital serves as the testing ground for clinical validation.</w:t>
      </w:r>
    </w:p>
    <w:p>
      <w:pPr>
        <w:pStyle w:val="BodyText"/>
      </w:pPr>
      <w:r>
        <w:t xml:space="preserve">In</w:t>
      </w:r>
      <w:r>
        <w:t xml:space="preserve"> </w:t>
      </w:r>
      <w:r>
        <w:rPr>
          <w:bCs/>
          <w:b/>
        </w:rPr>
        <w:t xml:space="preserve">Germany Frankfurt</w:t>
      </w:r>
      <w:r>
        <w:t xml:space="preserve">, this synergy is evident in joint research centers and incubators established within the university's technology park. Researchers are encouraged to hold concurrent positions, allowing them to transfer knowledge fluidly between sectors. This model accelerates the translation of genomic discoveries into personalized medicine treatments, a field where</w:t>
      </w:r>
      <w:r>
        <w:t xml:space="preserve"> </w:t>
      </w:r>
      <w:r>
        <w:rPr>
          <w:bCs/>
          <w:b/>
        </w:rPr>
        <w:t xml:space="preserve">Germany Frankfurt</w:t>
      </w:r>
    </w:p>
    <w:p>
      <w:pPr>
        <w:pStyle w:val="BodyText"/>
      </w:pPr>
      <w:r>
        <w:t xml:space="preserve">aims to lead globally.</w:t>
      </w:r>
    </w:p>
    <w:bookmarkEnd w:id="22"/>
    <w:bookmarkStart w:id="23" w:name="X1f24515f0e3c93f7f932f7848394842c2050e59"/>
    <w:p>
      <w:pPr>
        <w:pStyle w:val="Heading2"/>
      </w:pPr>
      <w:r>
        <w:t xml:space="preserve">4. Challenges Facing the Medical Researcher in Germany Frankfurt</w:t>
      </w:r>
    </w:p>
    <w:p>
      <w:pPr>
        <w:numPr>
          <w:ilvl w:val="0"/>
          <w:numId w:val="1001"/>
        </w:numPr>
        <w:pStyle w:val="Compact"/>
      </w:pPr>
      <w:r>
        <w:t xml:space="preserve">Bureaucratic Overhead:</w:t>
      </w:r>
    </w:p>
    <w:p>
      <w:pPr>
        <w:numPr>
          <w:ilvl w:val="0"/>
          <w:numId w:val="1001"/>
        </w:numPr>
        <w:pStyle w:val="Compact"/>
      </w:pPr>
      <w:r>
        <w:t xml:space="preserve">Funding Volatility:</w:t>
      </w:r>
    </w:p>
    <w:p>
      <w:pPr>
        <w:numPr>
          <w:ilvl w:val="0"/>
          <w:numId w:val="1001"/>
        </w:numPr>
      </w:pPr>
      <w:r>
        <w:t xml:space="preserve">Talent Retention:The global competition for top-tier scientific talent is intense. While</w:t>
      </w:r>
      <w:r>
        <w:t xml:space="preserve"> </w:t>
      </w:r>
      <w:r>
        <w:rPr>
          <w:bCs/>
          <w:b/>
        </w:rPr>
        <w:t xml:space="preserve">Germany Frankfurt</w:t>
      </w:r>
    </w:p>
    <w:p>
      <w:pPr>
        <w:numPr>
          <w:ilvl w:val="0"/>
          <w:numId w:val="1000"/>
        </w:numPr>
      </w:pPr>
      <w:r>
        <w:t xml:space="preserve">offers a high quality of life, it faces competition from other European hubs like Zurich and London (post-Brexit) in attracting international researchers.</w:t>
      </w:r>
    </w:p>
    <w:bookmarkEnd w:id="23"/>
    <w:bookmarkStart w:id="24" w:name="X8793fec3fea9a682207fc300292efee628300f2"/>
    <w:p>
      <w:pPr>
        <w:pStyle w:val="Heading2"/>
      </w:pPr>
      <w:r>
        <w:t xml:space="preserve">5. Strategies for Success and Future Directions</w:t>
      </w:r>
    </w:p>
    <w:p>
      <w:pPr>
        <w:pStyle w:val="FirstParagraph"/>
      </w:pPr>
      <w:r>
        <w:t xml:space="preserve">To thrive in this complex ecosystem,</w:t>
      </w:r>
      <w:r>
        <w:t xml:space="preserve"> </w:t>
      </w:r>
      <w:r>
        <w:rPr>
          <w:bCs/>
          <w:b/>
        </w:rPr>
        <w:t xml:space="preserve">Medical Researchers</w:t>
      </w:r>
    </w:p>
    <w:p>
      <w:pPr>
        <w:pStyle w:val="BodyText"/>
      </w:pPr>
      <w:r>
        <w:rPr>
          <w:bCs/>
          <w:b/>
        </w:rPr>
        <w:t xml:space="preserve">in Germany Frankfurt</w:t>
      </w:r>
    </w:p>
    <w:p>
      <w:pPr>
        <w:pStyle w:val="BodyText"/>
      </w:pPr>
      <w:r>
        <w:t xml:space="preserve">must adopt a strategic approach. This includes:</w:t>
      </w:r>
    </w:p>
    <w:p>
      <w:pPr>
        <w:pStyle w:val="BodyText"/>
      </w:pPr>
      <w:r>
        <w:t xml:space="preserve">Data Integration Expertise: Mastering bioinformatics and AI-driven analysis to handle the massive datasets generated by modern genomic studies.</w:t>
      </w:r>
    </w:p>
    <w:p>
      <w:pPr>
        <w:pStyle w:val="BodyText"/>
      </w:pPr>
      <w:r>
        <w:t xml:space="preserve">Ethical Leadership: Proactively engaging with ethics committees to ensure public trust, particularly in sensitive areas like gene editing (CRISPR-Cas9) and digital health.</w:t>
      </w:r>
    </w:p>
    <w:p>
      <w:pPr>
        <w:pStyle w:val="BodyText"/>
      </w:pPr>
      <w:r>
        <w:t xml:space="preserve">&lt;3. Interdisciplinary Collaboration: Building networks that span biology, computer science, law, and economics.</w:t>
      </w:r>
    </w:p>
    <w:p>
      <w:pPr>
        <w:pStyle w:val="BodyText"/>
      </w:pPr>
      <w:r>
        <w:t xml:space="preserve">Future research should focus on quantifying the economic impact of these collaborations in</w:t>
      </w:r>
      <w:r>
        <w:t xml:space="preserve"> </w:t>
      </w:r>
      <w:r>
        <w:rPr>
          <w:bCs/>
          <w:b/>
        </w:rPr>
        <w:t xml:space="preserve">Germany Frankfurt</w:t>
      </w:r>
    </w:p>
    <w:p>
      <w:pPr>
        <w:pStyle w:val="BodyText"/>
      </w:pPr>
      <w:r>
        <w:t xml:space="preserve">. By measuring not just academic output (papers/citations) but also patent filings, startup creation rates, and patient outcome improvements, we can better understand the ROI of this integrated research model.</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Medical Researcher</w:t>
      </w:r>
    </w:p>
    <w:p>
      <w:pPr>
        <w:pStyle w:val="BodyText"/>
      </w:pPr>
      <w:r>
        <w:rPr>
          <w:bCs/>
          <w:b/>
        </w:rPr>
        <w:t xml:space="preserve">In Germany Frankfurt</w:t>
      </w:r>
      <w:r>
        <w:t xml:space="preserve">s evolving from that of a solitary scientist to a collaborative node in a vast innovation network. The city’s unique position as both a financial powerhouse and an academic hub provides unparalleled resources for medical breakthroughs. However, realizing this potential requires overcoming bureaucratic inertia and fostering a culture that values translational outcomes as highly as theoretical discoveries.</w:t>
      </w:r>
    </w:p>
    <w:p>
      <w:pPr>
        <w:pStyle w:val="BodyText"/>
      </w:pPr>
      <w:r>
        <w:t xml:space="preserve">As we look toward the future, it is imperative that policymakers, academic leaders, and industry executives in</w:t>
      </w:r>
      <w:r>
        <w:t xml:space="preserve"> </w:t>
      </w:r>
      <w:r>
        <w:rPr>
          <w:bCs/>
          <w:b/>
        </w:rPr>
        <w:t xml:space="preserve">Germany Frankfurt</w:t>
      </w:r>
    </w:p>
    <w:p>
      <w:pPr>
        <w:pStyle w:val="BodyText"/>
      </w:pPr>
      <w:r>
        <w:t xml:space="preserve">continue to support frameworks that empower</w:t>
      </w:r>
      <w:r>
        <w:t xml:space="preserve"> </w:t>
      </w:r>
      <w:r>
        <w:rPr>
          <w:bCs/>
          <w:b/>
        </w:rPr>
        <w:t xml:space="preserve">M edical Researchers</w:t>
      </w:r>
    </w:p>
    <w:p>
      <w:pPr>
        <w:pStyle w:val="BodyText"/>
      </w:pPr>
      <w:r>
        <w:t xml:space="preserve">. By doing so, they not only advance scientific knowledge but also contribute to the economic vitality of the region and, most importantly, improve healthcare outcomes for patients worldwide.</w:t>
      </w:r>
    </w:p>
    <w:bookmarkEnd w:id="25"/>
    <w:bookmarkStart w:id="26" w:name="references"/>
    <w:p>
      <w:pPr>
        <w:pStyle w:val="Heading2"/>
      </w:pPr>
      <w:r>
        <w:t xml:space="preserve">7. References</w:t>
      </w:r>
    </w:p>
    <w:p>
      <w:pPr>
        <w:numPr>
          <w:ilvl w:val="0"/>
          <w:numId w:val="1002"/>
        </w:numPr>
        <w:pStyle w:val="Compact"/>
      </w:pPr>
      <w:r>
        <w:t xml:space="preserve">Bundesministerium für Bildung und Forschung (BMBF). (2023). *Strategies for Life Sciences in Germany.* Berlin.</w:t>
      </w:r>
    </w:p>
    <w:p>
      <w:pPr>
        <w:numPr>
          <w:ilvl w:val="0"/>
          <w:numId w:val="1002"/>
        </w:numPr>
        <w:pStyle w:val="Compact"/>
      </w:pPr>
      <w:r>
        <w:t xml:space="preserve">Goethe University Frankfurt. (2024). *Annual Report on Biomedical Research and Innovation.* Frankfurt am Main.</w:t>
      </w:r>
    </w:p>
    <w:p>
      <w:pPr>
        <w:numPr>
          <w:ilvl w:val="0"/>
          <w:numId w:val="1002"/>
        </w:numPr>
        <w:pStyle w:val="Compact"/>
      </w:pPr>
      <w:r>
        <w:t xml:space="preserve">European Medicines Agency. (2023). *Guidelines on Clinical Trials Regulation Implementation.* Amsterdam.</w:t>
      </w:r>
    </w:p>
    <w:p>
      <w:pPr>
        <w:numPr>
          <w:ilvl w:val="0"/>
          <w:numId w:val="1002"/>
        </w:numPr>
        <w:pStyle w:val="Compact"/>
      </w:pPr>
      <w:r>
        <w:t xml:space="preserve">Schmidt, H., &amp; Mueller, K. (2023). "Public-Private Partnerships in the Rhine-Main Region: A Case Study." *Journal of European Biotechnology Policy*, 15(4), 112-130.</w:t>
      </w:r>
    </w:p>
    <w:p>
      <w:pPr>
        <w:numPr>
          <w:ilvl w:val="0"/>
          <w:numId w:val="1002"/>
        </w:numPr>
        <w:pStyle w:val="Compact"/>
      </w:pPr>
      <w:r>
        <w:t xml:space="preserve">German Research Foundation (DFG). (2024). *Funding Priorities in Medical Sciences.* Bonn.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Germany Frankfurt: Bridging Academia, Industry, and Clinical Practice</dc:title>
  <dc:creator/>
  <dc:language>en</dc:language>
  <cp:keywords/>
  <dcterms:created xsi:type="dcterms:W3CDTF">2026-07-29T16:25:44Z</dcterms:created>
  <dcterms:modified xsi:type="dcterms:W3CDTF">2026-07-29T16:25:44Z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