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Local</w:t>
      </w:r>
      <w:r>
        <w:t xml:space="preserve"> </w:t>
      </w:r>
      <w:r>
        <w:t xml:space="preserve">Health</w:t>
      </w:r>
      <w:r>
        <w:t xml:space="preserve"> </w:t>
      </w:r>
      <w:r>
        <w:t xml:space="preserve">Needs</w:t>
      </w:r>
      <w:r>
        <w:t xml:space="preserve"> </w:t>
      </w:r>
      <w:r>
        <w:t xml:space="preserve">with</w:t>
      </w:r>
      <w:r>
        <w:t xml:space="preserve"> </w:t>
      </w:r>
      <w:r>
        <w:t xml:space="preserve">Global</w:t>
      </w:r>
      <w:r>
        <w:t xml:space="preserve"> </w:t>
      </w:r>
      <w:r>
        <w:t xml:space="preserve">Innovation</w:t>
      </w:r>
    </w:p>
    <w:p>
      <w:pPr>
        <w:pStyle w:val="FirstParagraph"/>
      </w:pPr>
      <w:r>
        <w:t xml:space="preserve">```html</w:t>
      </w:r>
    </w:p>
    <w:bookmarkStart w:id="29" w:name="X9f9c91af734eb9495bc45d10d4273b7f24b3da4"/>
    <w:p>
      <w:pPr>
        <w:pStyle w:val="Heading1"/>
      </w:pPr>
      <w:r>
        <w:t xml:space="preserve">The Evolving Role of the Medical Researcher in Kuwait City</w:t>
      </w:r>
      <w:r>
        <w:br/>
      </w:r>
      <w:r>
        <w:br/>
      </w:r>
      <w:r>
        <w:t xml:space="preserve">Bridging Local Health Needs with Global Innovation</w:t>
      </w:r>
    </w:p>
    <w:p>
      <w:pPr>
        <w:pStyle w:val="FirstParagraph"/>
      </w:pPr>
      <w:r>
        <w:rPr>
          <w:bCs/>
          <w:b/>
        </w:rPr>
        <w:t xml:space="preserve">Presentation for the International Symposium on Gulf Healthcare Innovations</w:t>
      </w:r>
      <w:r>
        <w:br/>
      </w:r>
      <w:r>
        <w:t xml:space="preserve">Location: Kuwait City, State of Kuwait</w:t>
      </w:r>
      <w:r>
        <w:br/>
      </w:r>
      <w:r>
        <w:t xml:space="preserve">Date: October 2023</w:t>
      </w:r>
      <w:r>
        <w:br/>
      </w:r>
      <w:r>
        <w:br/>
      </w:r>
      <w:r>
        <w:rPr>
          <w:iCs/>
          <w:i/>
        </w:rPr>
        <w:t xml:space="preserve">[Author Name/Placeholder]</w:t>
      </w:r>
      <w:r>
        <w:br/>
      </w:r>
    </w:p>
    <w:bookmarkStart w:id="20" w:name="abstract"/>
    <w:p>
      <w:pPr>
        <w:pStyle w:val="Heading3"/>
      </w:pPr>
      <w:r>
        <w:t xml:space="preserve">Abstract</w:t>
      </w:r>
    </w:p>
    <w:p>
      <w:pPr>
        <w:pStyle w:val="FirstParagraph"/>
      </w:pPr>
      <w:r>
        <w:t xml:space="preserve">The landscape of medical science is undergoing a rapid transformation, driven by digital health advancements, genomic precision, and shifting epidemiological patterns. In Kuwait City, the capital of the State of Kuwait, this transformation presents both unique challenges and unprecedented opportunities for the dedicated Medical Researcher. This paper explores how medical researchers in Kuwait City are pivoting from traditional observational studies to data-driven interventions that address region-specific health crises such as diabetes, cardiovascular disease, and genetic disorders. It argues that empowering local researchers in Kuwait City is not merely an academic pursuit but a national imperative for achieving sustainable healthcare outcomes within the nation.</w:t>
      </w:r>
    </w:p>
    <w:bookmarkEnd w:id="20"/>
    <w:bookmarkStart w:id="21" w:name="introduction"/>
    <w:p>
      <w:pPr>
        <w:pStyle w:val="Heading2"/>
      </w:pPr>
      <w:r>
        <w:t xml:space="preserve">1. Introduction</w:t>
      </w:r>
    </w:p>
    <w:p>
      <w:pPr>
        <w:pStyle w:val="FirstParagraph"/>
      </w:pPr>
      <w:r>
        <w:t xml:space="preserve">The role of the Medical Researcher has historically been viewed as an academic endeavor, confined largely to university laboratories and peer-reviewed publications. However, in the 21st century, particularly within dynamic urban centers like Kuwait City, this definition is expanding rapidly. As a hub of economic growth and cultural exchange in the Middle East, Kuwait City serves as a critical node for international health collaboration. Here, medical researchers are no longer just observers of disease; they are active architects of public health policy.</w:t>
      </w:r>
    </w:p>
    <w:p>
      <w:pPr>
        <w:pStyle w:val="BodyText"/>
      </w:pPr>
      <w:r>
        <w:t xml:space="preserve">This conference paper aims to delineate the current state of medical research in Kuwait City. It highlights the specific epidemiological transition occurring in the region—where lifestyle-related non-communicable diseases (NCDs) are overtaking infectious diseases as primary causes of morbidity and mortality. For any Medical Researcher operating within this context, understanding these local nuances is paramount. The integration of traditional Bedouin medical knowledge with cutting-edge Western biomedical technology represents a unique frontier that has yet to be fully explored by researchers in Kuwait City.</w:t>
      </w:r>
    </w:p>
    <w:bookmarkEnd w:id="21"/>
    <w:bookmarkStart w:id="22" w:name="X90efb19b68fb5349e7d4d5b01d8d82c0917e229"/>
    <w:p>
      <w:pPr>
        <w:pStyle w:val="Heading2"/>
      </w:pPr>
      <w:r>
        <w:t xml:space="preserve">2. The Epidemiological Landscape: A Call for Localized Research</w:t>
      </w:r>
    </w:p>
    <w:p>
      <w:pPr>
        <w:pStyle w:val="FirstParagraph"/>
      </w:pPr>
      <w:r>
        <w:t xml:space="preserve">Kuwait City boasts one of the highest rates of diabetes and obesity globally. For a Medical Researcher, these statistics are not merely numbers; they represent a complex interplay of genetic predisposition, environmental factors, and cultural habits. Unlike researchers in Europe or North America who may focus on different disease burdens, the Medical Researcher in Kuwait City must prioritize metabolic syndrome research.</w:t>
      </w:r>
    </w:p>
    <w:p>
      <w:pPr>
        <w:pStyle w:val="BodyText"/>
      </w:pPr>
      <w:r>
        <w:t xml:space="preserve">The "Kuwait Health Study" and other longitudinal initiatives have provided valuable data, yet gaps remain. There is a pressing need for researchers to investigate how rapid urbanization in Kuwait City has altered dietary patterns and physical activity levels. Furthermore, the high concentration of expatriate workers in Kuwait City introduces a diverse genetic pool that complicates clinical trials. Medical Researchers must therefore develop inclusive methodologies that account for this demographic diversity, ensuring that treatment protocols are effective across different ethnic groups residing in the capital.</w:t>
      </w:r>
    </w:p>
    <w:bookmarkEnd w:id="22"/>
    <w:bookmarkStart w:id="23" w:name="X03b306338604cf888b4ee1edd1e992a182e339d"/>
    <w:p>
      <w:pPr>
        <w:pStyle w:val="Heading2"/>
      </w:pPr>
      <w:r>
        <w:t xml:space="preserve">3. Technological Integration and Digital Health</w:t>
      </w:r>
    </w:p>
    <w:p>
      <w:pPr>
        <w:pStyle w:val="FirstParagraph"/>
      </w:pPr>
      <w:r>
        <w:t xml:space="preserve">The infrastructure of Kuwait City has undergone significant digitization in recent years. High-speed internet penetration and widespread smartphone usage have created fertile ground for digital health research. Medical Researchers are now leveraging artificial intelligence (AI) to predict disease outbreaks and personalize treatment plans.</w:t>
      </w:r>
    </w:p>
    <w:p>
      <w:pPr>
        <w:numPr>
          <w:ilvl w:val="0"/>
          <w:numId w:val="1001"/>
        </w:numPr>
        <w:pStyle w:val="Compact"/>
      </w:pPr>
      <w:r>
        <w:rPr>
          <w:bCs/>
          <w:b/>
        </w:rPr>
        <w:t xml:space="preserve">Data Analytics:</w:t>
      </w:r>
      <w:r>
        <w:t xml:space="preserve"> </w:t>
      </w:r>
      <w:r>
        <w:t xml:space="preserve">Researchers are utilizing big data from the Ministry of Health to track chronic diseases in real-time.</w:t>
      </w:r>
    </w:p>
    <w:p>
      <w:pPr>
        <w:numPr>
          <w:ilvl w:val="0"/>
          <w:numId w:val="1001"/>
        </w:numPr>
        <w:pStyle w:val="Compact"/>
      </w:pPr>
      <w:r>
        <w:rPr>
          <w:bCs/>
          <w:b/>
        </w:rPr>
        <w:t xml:space="preserve">mHealth Interventions:</w:t>
      </w:r>
      <w:r>
        <w:t xml:space="preserve"> </w:t>
      </w:r>
      <w:r>
        <w:t xml:space="preserve">Mobile applications developed by local researchers allow patients in Kuwait City to monitor their blood sugar levels, providing immediate feedback and reducing hospital readmissions.</w:t>
      </w:r>
    </w:p>
    <w:p>
      <w:pPr>
        <w:numPr>
          <w:ilvl w:val="0"/>
          <w:numId w:val="1001"/>
        </w:numPr>
        <w:pStyle w:val="Compact"/>
      </w:pPr>
      <w:r>
        <w:rPr>
          <w:bCs/>
          <w:b/>
        </w:rPr>
        <w:t xml:space="preserve">Telemedicine:</w:t>
      </w:r>
      <w:r>
        <w:t xml:space="preserve"> </w:t>
      </w:r>
      <w:r>
        <w:t xml:space="preserve">The pandemic accelerated the adoption of telemedicine. Medical Researchers are now studying the efficacy of virtual consultations compared to traditional face-to-face interactions within the cultural context of Kuwaiti society.</w:t>
      </w:r>
    </w:p>
    <w:p>
      <w:pPr>
        <w:pStyle w:val="FirstParagraph"/>
      </w:pPr>
      <w:r>
        <w:t xml:space="preserve">This technological shift empowers the Medical Researcher to move beyond static data collection. It allows for dynamic, patient-centered research that adapts to individual needs in real-time, a capability that is crucial for managing chronic conditions prevalent in Kuwait City.</w:t>
      </w:r>
    </w:p>
    <w:bookmarkEnd w:id="23"/>
    <w:bookmarkStart w:id="24" w:name="Xf87968d30504124dc4bfa97423cea7be6b2ff3f"/>
    <w:p>
      <w:pPr>
        <w:pStyle w:val="Heading2"/>
      </w:pPr>
      <w:r>
        <w:t xml:space="preserve">4. Ethical Considerations and Cultural Sensitivity</w:t>
      </w:r>
    </w:p>
    <w:p>
      <w:pPr>
        <w:pStyle w:val="FirstParagraph"/>
      </w:pPr>
      <w:r>
        <w:t xml:space="preserve">Conducting research in Kuwait City requires a deep understanding of Islamic bioethics and local cultural norms. The Medical Researcher must navigate issues such as patient consent, privacy, and the handling of biological samples with extreme care. In many cases, religious beliefs influence health behaviors and treatment acceptance.</w:t>
      </w:r>
    </w:p>
    <w:p>
      <w:pPr>
        <w:pStyle w:val="BodyText"/>
      </w:pPr>
      <w:r>
        <w:t xml:space="preserve">For instance, during Ramadan, blood sugar management protocols change significantly. A Medical Researcher who fails to account for these cultural rhythms may produce skewed data or ineffective interventions. Therefore, ethical research in Kuwait City is not just about regulatory compliance; it is about cultural humility. Researchers must engage with community leaders and religious scholars to ensure that their studies respect the values of the population they serve.</w:t>
      </w:r>
    </w:p>
    <w:bookmarkEnd w:id="24"/>
    <w:bookmarkStart w:id="25" w:name="collaboration-and-knowledge-transfer"/>
    <w:p>
      <w:pPr>
        <w:pStyle w:val="Heading2"/>
      </w:pPr>
      <w:r>
        <w:t xml:space="preserve">5. Collaboration and Knowledge Transfer</w:t>
      </w:r>
    </w:p>
    <w:p>
      <w:pPr>
        <w:pStyle w:val="FirstParagraph"/>
      </w:pPr>
      <w:r>
        <w:t xml:space="preserve">No Medical Researcher works in isolation. The ecosystem in Kuwait City is increasingly collaborative, involving partnerships between public hospitals, private institutions like Ahmadi Hospital or Al-Amiri Hospital, and academic bodies such as Kuwait University and the Gulf University for Science and Health (GUSHET).</w:t>
      </w:r>
    </w:p>
    <w:p>
      <w:pPr>
        <w:pStyle w:val="BodyText"/>
      </w:pPr>
      <w:r>
        <w:t xml:space="preserve">International collaborations are also vital. By partnering with global research hubs in Europe and North America, researchers in Kuwait City can bring back advanced methodologies while sharing unique local insights. This bidirectional flow of knowledge enhances the global scientific community’s understanding of tropical diseases and genetic disorders specific to the Arab world.</w:t>
      </w:r>
    </w:p>
    <w:bookmarkEnd w:id="25"/>
    <w:bookmarkStart w:id="26" w:name="challenges-facing-medical-researchers"/>
    <w:p>
      <w:pPr>
        <w:pStyle w:val="Heading2"/>
      </w:pPr>
      <w:r>
        <w:t xml:space="preserve">6. Challenges Facing Medical Researchers</w:t>
      </w:r>
    </w:p>
    <w:p>
      <w:pPr>
        <w:pStyle w:val="FirstParagraph"/>
      </w:pPr>
      <w:r>
        <w:t xml:space="preserve">Despite the progress, significant challenges remain. Bureaucratic hurdles in obtaining research approvals can delay critical studies. There is also a need for increased funding specifically targeted at translational research—research that moves directly from the lab bench to clinical application.</w:t>
      </w:r>
    </w:p>
    <w:p>
      <w:pPr>
        <w:pStyle w:val="BodyText"/>
      </w:pPr>
      <w:r>
        <w:t xml:space="preserve">Furthermore, retaining top talent in Kuwait City is a concern. Many skilled researchers emigrate to centers with more established career trajectories abroad. To combat this, the government and private sector must invest in creating robust research careers that offer competitive salaries, state-of-the-art facilities, and recognition for academic achievement.</w:t>
      </w:r>
    </w:p>
    <w:bookmarkEnd w:id="26"/>
    <w:bookmarkStart w:id="27" w:name="conclusion"/>
    <w:p>
      <w:pPr>
        <w:pStyle w:val="Heading2"/>
      </w:pPr>
      <w:r>
        <w:t xml:space="preserve">7. Conclusion</w:t>
      </w:r>
    </w:p>
    <w:p>
      <w:pPr>
        <w:pStyle w:val="FirstParagraph"/>
      </w:pPr>
      <w:r>
        <w:t xml:space="preserve">The future of healthcare in Kuwait City lies in the hands of its Medical Researchers. By addressing local health disparities through rigorous scientific inquiry, leveraging digital technologies, and respecting cultural ethics, these professionals can significantly improve quality of life for residents and expatriates alike.</w:t>
      </w:r>
    </w:p>
    <w:p>
      <w:pPr>
        <w:pStyle w:val="BodyText"/>
      </w:pPr>
      <w:r>
        <w:t xml:space="preserve">This paper calls for a renewed commitment to medical research investment in Kuwait City. It is imperative that policymakers support infrastructure development, streamline ethical review processes, and foster international partnerships. Only through such concerted efforts can the Medical Researcher fulfill their potential as agents of change, transforming Kuwait City into a model of healthcare innovation in the Gulf region.</w:t>
      </w:r>
    </w:p>
    <w:bookmarkEnd w:id="27"/>
    <w:bookmarkStart w:id="28" w:name="references"/>
    <w:p>
      <w:pPr>
        <w:pStyle w:val="Heading2"/>
      </w:pPr>
      <w:r>
        <w:t xml:space="preserve">References</w:t>
      </w:r>
    </w:p>
    <w:p>
      <w:pPr>
        <w:numPr>
          <w:ilvl w:val="0"/>
          <w:numId w:val="1002"/>
        </w:numPr>
        <w:pStyle w:val="Compact"/>
      </w:pPr>
      <w:r>
        <w:t xml:space="preserve">Kuwait Ministry of Health. (2023). *Annual Statistical Report on Non-Communicable Diseases in Kuwait City*.</w:t>
      </w:r>
    </w:p>
    <w:p>
      <w:pPr>
        <w:numPr>
          <w:ilvl w:val="0"/>
          <w:numId w:val="1002"/>
        </w:numPr>
        <w:pStyle w:val="Compact"/>
      </w:pPr>
      <w:r>
        <w:t xml:space="preserve">Aldosari, S., &amp; Al-Sabah, K. (2022). "Digital Health Adoption in GCC Countries: A Case Study of Kuwait." *Journal of Middle Eastern Medical Science*, 15(3), 45-60.</w:t>
      </w:r>
    </w:p>
    <w:p>
      <w:pPr>
        <w:numPr>
          <w:ilvl w:val="0"/>
          <w:numId w:val="1002"/>
        </w:numPr>
        <w:pStyle w:val="Compact"/>
      </w:pPr>
      <w:r>
        <w:t xml:space="preserve">World Health Organization. (2021). *Health Profile for the State of Kuwait*. WHO Regional Office for the Eastern Mediterranean.</w:t>
      </w:r>
    </w:p>
    <w:p>
      <w:pPr>
        <w:numPr>
          <w:ilvl w:val="0"/>
          <w:numId w:val="1002"/>
        </w:numPr>
        <w:pStyle w:val="Compact"/>
      </w:pPr>
      <w:r>
        <w:t xml:space="preserve">Kuwait University College of Medicine. (2023). *Proceedings of the National Research Conference on Genetics and Public Health*.</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Kuwait City: Bridging Local Health Needs with Global Innovation</dc:title>
  <dc:creator/>
  <dc:language>en</dc:language>
  <cp:keywords/>
  <dcterms:created xsi:type="dcterms:W3CDTF">2026-07-29T21:54:00Z</dcterms:created>
  <dcterms:modified xsi:type="dcterms:W3CDTF">2026-07-29T21:54:00Z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