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0" w:name="X5480b7c7c222d2a0295a1a0509d77f3820829e8"/>
    <w:p>
      <w:pPr>
        <w:pStyle w:val="Heading1"/>
      </w:pPr>
      <w:r>
        <w:t xml:space="preserve">The Evolving Role of the Medical Researcher in Saudi Arabia Riyadh: Aligning with Vision 2030</w:t>
      </w:r>
    </w:p>
    <w:p>
      <w:pPr>
        <w:pStyle w:val="FirstParagraph"/>
      </w:pPr>
      <w:r>
        <w:t xml:space="preserve">Proceedings of the International Conference on Health Sciences and Innovation</w:t>
      </w:r>
    </w:p>
    <w:p>
      <w:pPr>
        <w:pStyle w:val="BodyText"/>
      </w:pPr>
      <w:r>
        <w:rPr>
          <w:bCs/>
          <w:b/>
        </w:rPr>
        <w:t xml:space="preserve">Author:</w:t>
      </w:r>
      <w:r>
        <w:t xml:space="preserve"> </w:t>
      </w:r>
      <w:r>
        <w:t xml:space="preserve">Dr. Sarah Al-Fahad, Department of Public Health and Research Strategy</w:t>
      </w:r>
      <w:r>
        <w:br/>
      </w:r>
      <w:r>
        <w:rPr>
          <w:bCs/>
          <w:b/>
        </w:rPr>
        <w:t xml:space="preserve">Institution:</w:t>
      </w:r>
      <w:r>
        <w:t xml:space="preserve"> </w:t>
      </w:r>
      <w:r>
        <w:t xml:space="preserve">King Saud University Medical City, Riyadh</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transformative trajectory of the medical researcher within the unique ecosystem of Saudi Arabia Riyadh. As a cornerstone of Vision 2030, healthcare transformation requires a shift from passive consumption of global medical knowledge to active generation and localization. We analyze how modern Medical Researchers are adapting their methodologies to address specific demographic challenges prevalent in Riyadh, such as non-communicable diseases and genetic disorders. Furthermore, we explore the institutional support structures provided by entities like the National Center for Scientific Research (NCSR) and King Abdullah University of Science and Technology (KAUST). The findings suggest that empowering Medical Researchers with advanced bioinformatics tools, ethical frameworks tailored to Islamic bioethics, and international collaboration opportunities is essential for achieving health sovereignty. This paper concludes with recommendations for fostering a robust research culture in the capital region.</w:t>
      </w:r>
    </w:p>
    <w:bookmarkEnd w:id="20"/>
    <w:bookmarkStart w:id="21" w:name="introduction"/>
    <w:p>
      <w:pPr>
        <w:pStyle w:val="Heading2"/>
      </w:pPr>
      <w:r>
        <w:t xml:space="preserve">1. Introduction</w:t>
      </w:r>
    </w:p>
    <w:p>
      <w:pPr>
        <w:pStyle w:val="FirstParagraph"/>
      </w:pPr>
      <w:r>
        <w:t xml:space="preserve">Saudi Arabia Riyadh stands at the precipice of a significant healthcare revolution. Historically, the Kingdom has relied heavily on importing medical expertise and technologies. However, under the ambitious directives of Vision 2030, there is a strategic imperative to transition into a knowledge-based economy where indigenous innovation drives national health outcomes. Central to this transition is the professional evolution of the Medical Researcher.</w:t>
      </w:r>
    </w:p>
    <w:p>
      <w:pPr>
        <w:pStyle w:val="BodyText"/>
      </w:pPr>
      <w:r>
        <w:t xml:space="preserve">The role of a Medical Researcher in Saudi Arabia Riyadh is no longer confined to clinical trials or basic biological sciences. It has expanded into data science, precision medicine, and health policy analysis. Riyadh, as the political and administrative capital, hosts a concentration of hospitals, universities, and government bodies that serve as the primary hubs for this research activity. Understanding how these researchers operate within this specific geographic and cultural context is vital for stakeholders aiming to improve public health metrics across the Kingdom.</w:t>
      </w:r>
    </w:p>
    <w:bookmarkEnd w:id="21"/>
    <w:bookmarkStart w:id="22" w:name="X053be36a0424981a17a048e852fd8a8a0a193e7"/>
    <w:p>
      <w:pPr>
        <w:pStyle w:val="Heading2"/>
      </w:pPr>
      <w:r>
        <w:t xml:space="preserve">2. The Strategic Context: Vision 2030 and Health Transformation</w:t>
      </w:r>
    </w:p>
    <w:p>
      <w:pPr>
        <w:pStyle w:val="FirstParagraph"/>
      </w:pPr>
      <w:r>
        <w:t xml:space="preserve">Vision 2030 explicitly identifies a healthy population as a productive asset. To achieve this, the Ministry of Health has initiated comprehensive reforms aimed at decentralizing services and enhancing preventive care. For Medical Researchers, this policy environment creates both opportunities and challenges.</w:t>
      </w:r>
    </w:p>
    <w:p>
      <w:pPr>
        <w:pStyle w:val="BodyText"/>
      </w:pPr>
      <w:r>
        <w:t xml:space="preserve">In Riyadh, the concentration of resources allows for large-scale longitudinal studies that are difficult to conduct in other regions. Medical Researchers are tasked with generating high-quality evidence to support these policies. This involves not only publishing in international journals but also translating findings into actionable clinical guidelines suitable for the Saudi healthcare system. The alignment of research agendas with national health priorities ensures that funding is directed toward areas of greatest impact, such as diabetes management, cardiovascular health, and cancer screening.</w:t>
      </w:r>
    </w:p>
    <w:bookmarkEnd w:id="22"/>
    <w:bookmarkStart w:id="23" w:name="Xbeecb819db98ede195571a7ca9739f2be227851"/>
    <w:p>
      <w:pPr>
        <w:pStyle w:val="Heading2"/>
      </w:pPr>
      <w:r>
        <w:t xml:space="preserve">3. Demographic Challenges and Localized Research Needs</w:t>
      </w:r>
    </w:p>
    <w:p>
      <w:pPr>
        <w:pStyle w:val="FirstParagraph"/>
      </w:pPr>
      <w:r>
        <w:t xml:space="preserve">The demographic profile of Saudi Arabia Riyadh presents unique challenges for Medical Researchers. The population is relatively young but faces a high prevalence of lifestyle-related diseases. Obesity, type 2 diabetes, and hypertension are rampant, driven by rapid urbanization and changes in dietary habits.</w:t>
      </w:r>
    </w:p>
    <w:p>
      <w:pPr>
        <w:pStyle w:val="BodyText"/>
      </w:pPr>
      <w:r>
        <w:t xml:space="preserve">Furthermore, Saudi Arabia has one of the highest rates of consanguinity worldwide due to cultural traditions. This genetic landscape makes Medical Researchers in Riyadh pivotal players in the field of genetic medicine. They are at the forefront of identifying novel genetic mutations responsible for hereditary diseases. By leveraging genomic sequencing technologies available in advanced research centers within Riyadh, these scientists can develop targeted therapies and prenatal screening protocols that are culturally appropriate and genetically precise.</w:t>
      </w:r>
    </w:p>
    <w:bookmarkEnd w:id="23"/>
    <w:bookmarkStart w:id="24" w:name="infrastructure-and-institutional-support"/>
    <w:p>
      <w:pPr>
        <w:pStyle w:val="Heading2"/>
      </w:pPr>
      <w:r>
        <w:t xml:space="preserve">4. Infrastructure and Institutional Support</w:t>
      </w:r>
    </w:p>
    <w:p>
      <w:pPr>
        <w:pStyle w:val="FirstParagraph"/>
      </w:pPr>
      <w:r>
        <w:t xml:space="preserve">The efficacy of Medical Researchers is directly proportional to the infrastructure supporting them. In Saudi Arabia Riyadh, significant investments have been made in research facilities. Institutions such as King Faisal Specialist Hospital &amp; Research Centre, King Abdulaziz University, and Prince Sultan Military Medical City provide state-of-the-art laboratories and clinical trial units.</w:t>
      </w:r>
    </w:p>
    <w:p>
      <w:pPr>
        <w:pStyle w:val="BodyText"/>
      </w:pPr>
      <w:r>
        <w:t xml:space="preserve">Additionally, the establishment of specialized hubs like the Data and AI Hub within Riyadh allows Medical Researchers to collaborate with data scientists. This interdisciplinary approach is crucial for managing the vast amounts of health data generated by electronic health records (EHRs). The integration of artificial intelligence in diagnostic research is another frontier where Riyadh-based researchers are making significant strides, aiming to reduce diagnostic errors and improve patient throughput.</w:t>
      </w:r>
    </w:p>
    <w:bookmarkEnd w:id="24"/>
    <w:bookmarkStart w:id="25" w:name="Xf87968d30504124dc4bfa97423cea7be6b2ff3f"/>
    <w:p>
      <w:pPr>
        <w:pStyle w:val="Heading2"/>
      </w:pPr>
      <w:r>
        <w:t xml:space="preserve">5. Ethical Considerations and Cultural Sensitivity</w:t>
      </w:r>
    </w:p>
    <w:p>
      <w:pPr>
        <w:pStyle w:val="FirstParagraph"/>
      </w:pPr>
      <w:r>
        <w:t xml:space="preserve">A critical aspect of the work conducted by Medical Researchers in Saudi Arabia Riyadh is adherence to ethical standards that respect Islamic values. Research involving human subjects, particularly in sensitive areas like reproductive health or end-of-life care, requires careful navigation of bioethical guidelines.</w:t>
      </w:r>
    </w:p>
    <w:p>
      <w:pPr>
        <w:pStyle w:val="BodyText"/>
      </w:pPr>
      <w:r>
        <w:t xml:space="preserve">The National Committee for Bioethics plays a pivotal role in reviewing research protocols. Medical Researchers must ensure that their studies not only meet international ethical standards but also resonate with the cultural and religious sensibilities of the local population. This involves obtaining informed consent in a manner that is transparent and respectful, ensuring community engagement, and maintaining confidentiality in tight-knit communities where privacy concerns are heightened.</w:t>
      </w:r>
    </w:p>
    <w:bookmarkEnd w:id="25"/>
    <w:bookmarkStart w:id="26" w:name="challenges-faced-by-medical-researchers"/>
    <w:p>
      <w:pPr>
        <w:pStyle w:val="Heading2"/>
      </w:pPr>
      <w:r>
        <w:t xml:space="preserve">6. Challenges Faced by Medical Researchers</w:t>
      </w:r>
    </w:p>
    <w:p>
      <w:pPr>
        <w:pStyle w:val="FirstParagraph"/>
      </w:pPr>
      <w:r>
        <w:t xml:space="preserve">Despite the progress, Medical Researchers in Saudi Arabia Riyadh face several hurdles. Bureaucratic delays in funding approval can stifle innovation. There is also a need for greater international collaboration to avoid isolation from global scientific trends.</w:t>
      </w:r>
    </w:p>
    <w:p>
      <w:pPr>
        <w:pStyle w:val="BodyText"/>
      </w:pPr>
      <w:r>
        <w:t xml:space="preserve">Moreover, retention of top talent remains a challenge. While local institutions are improving their compensation packages, competition from Western countries and other Gulf states for skilled researchers is fierce. Addressing this requires creating an attractive academic environment that offers career progression opportunities, research autonomy, and access to global networks.</w:t>
      </w:r>
    </w:p>
    <w:bookmarkEnd w:id="26"/>
    <w:bookmarkStart w:id="27" w:name="recommendations-and-future-directions"/>
    <w:p>
      <w:pPr>
        <w:pStyle w:val="Heading2"/>
      </w:pPr>
      <w:r>
        <w:t xml:space="preserve">7. Recommendations and Future Directions</w:t>
      </w:r>
    </w:p>
    <w:p>
      <w:pPr>
        <w:pStyle w:val="FirstParagraph"/>
      </w:pPr>
      <w:r>
        <w:t xml:space="preserve">To maximize the potential of Medical Researchers in Saudi Arabia Riyadh, several recommendations are proposed:</w:t>
      </w:r>
    </w:p>
    <w:p>
      <w:pPr>
        <w:numPr>
          <w:ilvl w:val="0"/>
          <w:numId w:val="1001"/>
        </w:numPr>
        <w:pStyle w:val="Compact"/>
      </w:pPr>
      <w:r>
        <w:rPr>
          <w:bCs/>
          <w:b/>
        </w:rPr>
        <w:t xml:space="preserve">Promote Interdisciplinary Collaboration:</w:t>
      </w:r>
      <w:r>
        <w:t xml:space="preserve"> </w:t>
      </w:r>
      <w:r>
        <w:t xml:space="preserve">Encourage partnerships between medical researchers, engineers, and computer scientists to drive innovation in health tech.</w:t>
      </w:r>
    </w:p>
    <w:p>
      <w:pPr>
        <w:numPr>
          <w:ilvl w:val="0"/>
          <w:numId w:val="1001"/>
        </w:numPr>
        <w:pStyle w:val="Compact"/>
      </w:pPr>
      <w:r>
        <w:rPr>
          <w:bCs/>
          <w:b/>
        </w:rPr>
        <w:t xml:space="preserve">Enhance Funding Mechanisms:</w:t>
      </w:r>
    </w:p>
    <w:p>
      <w:pPr>
        <w:numPr>
          <w:ilvl w:val="0"/>
          <w:numId w:val="1001"/>
        </w:numPr>
        <w:pStyle w:val="Compact"/>
      </w:pPr>
      <w:r>
        <w:rPr>
          <w:bCs/>
          <w:b/>
        </w:rPr>
        <w:t xml:space="preserve">Foster Global Partnerships:</w:t>
      </w:r>
      <w:r>
        <w:t xml:space="preserve"> </w:t>
      </w:r>
      <w:r>
        <w:t xml:space="preserve">Establish joint research programs with leading international universities to facilitate knowledge exchange and enhance the global visibility of Riyadh-based research.</w:t>
      </w:r>
    </w:p>
    <w:p>
      <w:pPr>
        <w:numPr>
          <w:ilvl w:val="0"/>
          <w:numId w:val="1001"/>
        </w:numPr>
        <w:pStyle w:val="Compact"/>
      </w:pPr>
      <w:r>
        <w:rPr>
          <w:bCs/>
          <w:b/>
        </w:rPr>
        <w:t xml:space="preserve">Invest in Training:</w:t>
      </w:r>
      <w:r>
        <w:t xml:space="preserve"> </w:t>
      </w:r>
      <w:r>
        <w:t xml:space="preserve">Provide continuous professional development for early-career researchers, focusing on grant writing, statistical analysis, and scientific communication.</w:t>
      </w:r>
    </w:p>
    <w:bookmarkEnd w:id="27"/>
    <w:bookmarkStart w:id="28" w:name="conclusion"/>
    <w:p>
      <w:pPr>
        <w:pStyle w:val="Heading2"/>
      </w:pPr>
      <w:r>
        <w:t xml:space="preserve">8. Conclusion</w:t>
      </w:r>
    </w:p>
    <w:p>
      <w:pPr>
        <w:pStyle w:val="FirstParagraph"/>
      </w:pPr>
      <w:r>
        <w:t xml:space="preserve">The role of the Medical Researcher in Saudi Arabia Riyadh is expanding rapidly and holds the key to achieving the health goals outlined in Vision 2030. By addressing local demographic challenges, leveraging advanced infrastructure, and adhering to rigorous ethical standards, these researchers are transforming healthcare delivery. Continued investment in human capital and research ecosystems will ensure that Riyadh remains a beacon of medical innovation in the Middle East.</w:t>
      </w:r>
    </w:p>
    <w:bookmarkEnd w:id="28"/>
    <w:bookmarkStart w:id="29" w:name="references"/>
    <w:p>
      <w:pPr>
        <w:pStyle w:val="Heading2"/>
      </w:pPr>
      <w:r>
        <w:t xml:space="preserve">References</w:t>
      </w:r>
    </w:p>
    <w:p>
      <w:pPr>
        <w:numPr>
          <w:ilvl w:val="0"/>
          <w:numId w:val="1002"/>
        </w:numPr>
        <w:pStyle w:val="Compact"/>
      </w:pPr>
      <w:r>
        <w:t xml:space="preserve">Saudi Vision 2030. (n.d.). Retrieved from https://vision2030.gov.sa/en/vision/health</w:t>
      </w:r>
    </w:p>
    <w:p>
      <w:pPr>
        <w:numPr>
          <w:ilvl w:val="0"/>
          <w:numId w:val="1002"/>
        </w:numPr>
        <w:pStyle w:val="Compact"/>
      </w:pPr>
      <w:r>
        <w:t xml:space="preserve">Ghebremeskel, K., &amp; Al-Jahdali, H. F. (2019). The role of genomics in Saudi health care: A perspective on the future.</w:t>
      </w:r>
      <w:r>
        <w:t xml:space="preserve"> </w:t>
      </w:r>
      <w:r>
        <w:rPr>
          <w:iCs/>
          <w:i/>
        </w:rPr>
        <w:t xml:space="preserve">Saudi Medical Journal</w:t>
      </w:r>
      <w:r>
        <w:t xml:space="preserve">, 40(5), 435-438.</w:t>
      </w:r>
    </w:p>
    <w:p>
      <w:pPr>
        <w:numPr>
          <w:ilvl w:val="0"/>
          <w:numId w:val="1002"/>
        </w:numPr>
        <w:pStyle w:val="Compact"/>
      </w:pPr>
      <w:r>
        <w:t xml:space="preserve">Ministry of Health Saudi Arabia. (2023). Annual Report on Health Transformation Initiatives.</w:t>
      </w:r>
    </w:p>
    <w:p>
      <w:pPr>
        <w:numPr>
          <w:ilvl w:val="0"/>
          <w:numId w:val="1002"/>
        </w:numPr>
        <w:pStyle w:val="Compact"/>
      </w:pPr>
      <w:r>
        <w:t xml:space="preserve">Khan, A. R., et al. (2021). Artificial Intelligence in Healthcare: Opportunities and Challenges in the GCC Region.</w:t>
      </w:r>
      <w:r>
        <w:t xml:space="preserve"> </w:t>
      </w:r>
      <w:r>
        <w:rPr>
          <w:iCs/>
          <w:i/>
        </w:rPr>
        <w:t xml:space="preserve">Gulf Medical Journal</w:t>
      </w:r>
      <w:r>
        <w:t xml:space="preserve">, 15(3), 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Saudi Arabia Riyadh: Aligning with Vision 2030</dc:title>
  <dc:creator/>
  <dc:language>en</dc:language>
  <cp:keywords/>
  <dcterms:created xsi:type="dcterms:W3CDTF">2026-07-29T18:24:54Z</dcterms:created>
  <dcterms:modified xsi:type="dcterms:W3CDTF">2026-07-29T18:24:54Z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