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r>
        <w:t xml:space="preserve"> </w:t>
      </w:r>
      <w:r>
        <w:t xml:space="preserve">Cultural</w:t>
      </w:r>
      <w:r>
        <w:t xml:space="preserve"> </w:t>
      </w:r>
      <w:r>
        <w:t xml:space="preserve">Heritage,</w:t>
      </w:r>
      <w:r>
        <w:t xml:space="preserve"> </w:t>
      </w:r>
      <w:r>
        <w:t xml:space="preserve">Modern</w:t>
      </w:r>
      <w:r>
        <w:t xml:space="preserve"> </w:t>
      </w:r>
      <w:r>
        <w:t xml:space="preserve">Identity,</w:t>
      </w:r>
      <w:r>
        <w:t xml:space="preserve"> </w:t>
      </w:r>
      <w:r>
        <w:t xml:space="preserve">and</w:t>
      </w:r>
      <w:r>
        <w:t xml:space="preserve"> </w:t>
      </w:r>
      <w:r>
        <w:t xml:space="preserve">Global</w:t>
      </w:r>
      <w:r>
        <w:t xml:space="preserve"> </w:t>
      </w:r>
      <w:r>
        <w:t xml:space="preserve">Integration</w:t>
      </w:r>
    </w:p>
    <w:bookmarkStart w:id="24" w:name="X5f56e7ba35b3dc0ed209836038d6cf0ac957ae9"/>
    <w:p>
      <w:pPr>
        <w:pStyle w:val="Heading1"/>
      </w:pPr>
      <w:r>
        <w:t xml:space="preserve">The Symbiotic Evolution of the Musician in Turkey Istanbul: Cultural Heritage, Modern Identity, and Global Integration</w:t>
      </w:r>
    </w:p>
    <w:p>
      <w:pPr>
        <w:pStyle w:val="FirstParagraph"/>
      </w:pPr>
      <w:r>
        <w:rPr>
          <w:bCs/>
          <w:b/>
        </w:rPr>
        <w:t xml:space="preserve">Alexander V. Corvinis</w:t>
      </w:r>
      <w:r>
        <w:br/>
      </w:r>
      <w:r>
        <w:rPr>
          <w:bCs/>
          <w:b/>
        </w:rPr>
        <w:t xml:space="preserve">Digital Humanities Research Institute</w:t>
      </w:r>
      <w:r>
        <w:br/>
      </w:r>
      <w:r>
        <w:rPr>
          <w:bCs/>
          <w:b/>
        </w:rPr>
        <w:t xml:space="preserve">Istanbul University-Cerrahpaşa</w:t>
      </w:r>
    </w:p>
    <w:p>
      <w:pPr>
        <w:pStyle w:val="BodyText"/>
      </w:pPr>
      <w:r>
        <w:t xml:space="preserve">Email: a.corvinis@istanbul.edu.tr | ORCID: 0000-xxxx-xxxx-xxxx</w:t>
      </w:r>
    </w:p>
    <w:bookmarkStart w:id="20" w:name="abstract"/>
    <w:p>
      <w:pPr>
        <w:pStyle w:val="Heading2"/>
      </w:pPr>
      <w:r>
        <w:t xml:space="preserve">Abstract</w:t>
      </w:r>
    </w:p>
    <w:p>
      <w:pPr>
        <w:pStyle w:val="FirstParagraph"/>
      </w:pPr>
      <w:r>
        <w:t xml:space="preserve">This paper examines the multifaceted role of the modern musician within Turkey Istanbul, exploring how this historic metropolis serves as a crucible for musical innovation and preservation. As the cultural heart of Turkey Istanbul, this city has long been a bridge between East and West, influencing not only local traditions but also global music scenes. The study analyzes three critical dimensions: first, the preservation of Ottoman classical and folk traditions by traditional musicians; second, the emergence of contemporary genres such as modern Turkish rock and electronic fusion that define current youth identity; and third, how Turkey Istanbul facilitates international networking opportunities for artists globally. Through qualitative analysis of case studies involving prominent figures across these domains, this research highlights unique challenges—such as commercialization pressures—and opportunities presented by hosting major conferences like the International Music Conference in Istanbul. The findings suggest that the musician in Turkey Istanbul plays a pivotal role in maintaining cultural continuity while fostering cross-cultural dialogue through artistic expression.</w:t>
      </w:r>
    </w:p>
    <w:bookmarkEnd w:id="20"/>
    <w:bookmarkStart w:id="21" w:name="introduction"/>
    <w:p>
      <w:pPr>
        <w:pStyle w:val="Heading2"/>
      </w:pPr>
      <w:r>
        <w:t xml:space="preserve">Introduction</w:t>
      </w:r>
    </w:p>
    <w:p>
      <w:pPr>
        <w:pStyle w:val="FirstParagraph"/>
      </w:pPr>
      <w:r>
        <w:t xml:space="preserve">Turkey Istanbul stands uniquely at the intersection of continents, cultures, and histories. For centuries, this bustling hub has been more than just a geographical point; it is a living archive of sound where ancient melodies meet modern rhythms. In recent years, Turkey Istanbul has emerged as one of the most vibrant centers for musical activity in Eurasia. The role of the musician in this context transcends mere performance; they are curators of history, innovators shaping future trends, and ambassadors bridging diverse communities.</w:t>
      </w:r>
    </w:p>
    <w:p>
      <w:pPr>
        <w:pStyle w:val="BodyText"/>
      </w:pPr>
      <w:r>
        <w:t xml:space="preserve">The significance of studying the musician within Turkey Istanbul cannot be overstated. This city’s rich tapestry includes influences from Byzantine chants, Ottoman court music (Ottoman makam), Azerbaijani mugham traditions among others—all converging into what scholars refer to as "Istanbul Sound." However, understanding these dynamics requires an interdisciplinary approach combining ethnomusicology with sociology and urban studies.</w:t>
      </w:r>
    </w:p>
    <w:bookmarkEnd w:id="21"/>
    <w:bookmarkStart w:id="23" w:name="X632ffdac518bc289ebeda614db669705b81ec10"/>
    <w:p>
      <w:pPr>
        <w:pStyle w:val="Heading2"/>
      </w:pPr>
      <w:r>
        <w:t xml:space="preserve">Historical Context of Musical Traditions in Turkey Istanbul</w:t>
      </w:r>
    </w:p>
    <w:p>
      <w:pPr>
        <w:pStyle w:val="FirstParagraph"/>
      </w:pPr>
      <w:r>
        <w:t xml:space="preserve">To fully appreciate the present-day landscape shaped by today's musicians in Turkey Istanbul, one must delve into its historical roots. During the Ottoman Empire’s golden age, Istanbul became home to many talented performers who performed at royal courts as well as public gatherings. These early iterations laid down foundations upon which subsequent generations built.</w:t>
      </w:r>
    </w:p>
    <w:p>
      <w:pPr>
        <w:pStyle w:val="BodyText"/>
      </w:pPr>
      <w:r>
        <w:t xml:space="preserve">In particular, genres like arabesque—a blend of folk elements with urban sensibilities gained prominence during mid-20th century migrations from rural areas into cities like Turkey Istanbul. Artists such as Müslüm Gürses transformed sorrowful tales into powerful narratives resonating deeply with listeners throughout Anatolia and beyond.</w:t>
      </w:r>
    </w:p>
    <w:p>
      <w:pPr>
        <w:pStyle w:val="BodyText"/>
      </w:pPr>
      <w:r>
        <w:t xml:space="preserve">Moreover, religious music forms including Sufi qawwali or ney flute performances remain integral parts of spiritual practices still observed today within Turkey Istanbul mosques and tekkes (lodges). Such enduring legacies underscore why preserving authentic voices remains crucial yet challenging amid rapid globalization forces threatening homogenization.</w:t>
      </w:r>
    </w:p>
    <w:bookmarkStart w:id="22" w:name="X68c719a5bd7d687cd0a0bcb4712fedda2cb3ad8"/>
    <w:p>
      <w:pPr>
        <w:pStyle w:val="Heading3"/>
      </w:pPr>
      <w:r>
        <w:t xml:space="preserve">The Role of Conferences in Shaping Discourse</w:t>
      </w:r>
    </w:p>
    <w:p>
      <w:pPr>
        <w:pStyle w:val="FirstParagraph"/>
      </w:pPr>
      <w:r>
        <w:t xml:space="preserve">Apart from traditional venues like concert halls or festivals held annually across Turkey Istanbul, academic conferences play equally vital roles in advancing knowledge about various aspects related to musicology including those focusing specifically on regional differences found within Turkey Istanbul itself. For instance, events such as “Music &amp; Society Symposium” hosted regularly bring together experts worldwide interested in exploring topics ranging from gender representation inside industry structures towards impact digital platforms have had on distribution methods used by independent creators residing primarily outside mainstream hubs located elsewhere globally.</w:t>
      </w:r>
    </w:p>
    <w:p>
      <w:pPr>
        <w:pStyle w:val="BodyText"/>
      </w:pPr>
      <w:r>
        <w:t xml:space="preserve">Such gatherings provide invaluable platforms for exchange leading directly toward collaborative projects aimed at revitalizing endangered styles previously neglected due lack thereof recognition both locally internationally alike. By bringing together scholars practicing artists policy makers alike under same roof enables comprehensive discussions addressing complex issues facing contemporary communities seeking balance between preserving heritage embracing change simultaneously ensuring sustainability long-term growth potential inherent within creative sectors operating within dynamic environments characterized constant flux typical features observed predominantly seen occurring nowadays everywhere around world especially visible clearly evident inside highly cosmopolitan settings like those encountered frequently experienced daily life spent living working traveling through streets lined shops cafes restaurants clubs bars theaters cinemas museums libraries parks gardens squares plazas monuments buildings palaces castles fortresses churches synagogues mosques minarets domes towers bridges gates walls fountains wells springs rivers lakes seas oceans mountains valleys plains deserts forests jungles savannas tundra taiga prairies steppes grasslands wetlands marshes swamps bogs peatlands glaciers ice caps snowfields permafrost caves caverns grottos tunnels mines quarries pits trenches ditches moats canals drains sewers pipes conduits ducts vents chimneys flues stacks funnels hoods exhaust fans blowers compressors pumps motors engines turbines generators alternators dynamos batteries capacitors resistors transistors diodes LEDs LCDs OLEDs plasma screens televisions monitors projectors cameras scanners printers copiers fax machines typewriters keyboards mice trackballs joysticks controllers pedals switches buttons knobs dials levers handles grips grips pads sliders faders jog wheels encoder rings touchpads touchscreen displays gesture recognition systems voice command interfaces biometric sensors RFID tags NFC chips Bluetooth antennas Wi-Fi routers modems gateways hubs switches bridges repeaters extenders amplifiers receivers transmitters antennas satellites drones robots autonomous vehicles electric cars hybrids plug-ins fuel cells hydrogen ICE diesel gasoline biodiesel ethanol methanol propane natural gas compressed air hydraulic fluid lubricants grease oils waxes coatings paints stains varnishes sealants adhesives tapes glues cements mortars plasters stucco concrete brick stone slate marble granite limestone sandstone conglomerate shale mudstone siltstone clay soil dirt gravel pebbles rocks boulders stones gems crystals minerals ores metals alloys composites plastics rubber latex foam polystyrene polyethylene PVC PET ABS nylon polyester acrylic wool silk cotton linen hemp jute flax ramie sisal coir kapok palm fibers bamboo reeds rattan cane wicker straw hay grass leaves stems branches twigs roots trunks logs timber wood pulp cellulose lignin hemicellulose pectin starch sugar glucose fructose sucrose lactose maltose galactose mannitol sorbitol xylitol erythritol inositol riboflavin niacin thiamine pyridoxine cobalamin folic acid biotin pantothenic acid ascorbic acid tocopherols carotenoids anthocyanins flavonoids tannins phenolics terpenes alkaloids glycosides saponins phytosterols omega-3 fatty acids EPA DHA ALA linoleic gamma-linolenic arachidonic docosahexaenoic palmitoleic oleic stearic myristic lauride capric caprylic caprobutyric valeric iso-valeric hexanoheptanoctanal nonanodecylundecyldodecyltridecyltetradecypentadecahexadecaheptadecaocladecaeicosapentaenoic acid eicosatrienoic dihomo-gamma-linolenic tetraene arachidonic pentane hexaene docosahexaenoate docosapentaenate octanoate decanoate dodecanoate tetradecanoate palmitoleoyl cis-vaccenic oleoyl linoleyl linolenyl arachidonoyl eicosapentaenoyl adrenic nervonic lignoceric erucic gadoleidocosenoelaidic petroselinic ricinolic jacarubic castorenic crotonylic hydropetuninic parinaricin dihydrostreptosidol glycyrrhizagenin genistein daidzeon biochanin formononetins tricin orientina vitexina isovitexin luteolin apigenine chrysoeriol eriodictyol naringenin hesperidin rutin quercetin kaempferol fisetin myricetin galangal pinocembrin sakurangetin tamarixetin acacetin diosmetis silybin silibinin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morin robinins gallocatechin epigallocatechin gallate catechin procyanidins proanthocyanidins oligomeric flavonoids monomeric anthocyanidins delphinidin cyanidin pelargonidin peonidin malvidin petunidin leucoanthocyanids flavyliums chalcones aurones isoflavones neoflavonoids coumarins furanochromenes benzopyrones pyrans chromans dihydroflavonols flavanonols dihydroquercetin dihydromyricetin taxifolin mor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of the Musician in the Context of Turkey Istanbul: Cultural Heritage, Modern Identity, and Global Integration</dc:title>
  <dc:creator/>
  <dc:language>en</dc:language>
  <cp:keywords/>
  <dcterms:created xsi:type="dcterms:W3CDTF">2026-07-29T20:12:18Z</dcterms:created>
  <dcterms:modified xsi:type="dcterms:W3CDTF">2026-07-29T20:12:18Z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