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Technology</w:t>
      </w:r>
      <w:r>
        <w:t xml:space="preserve"> </w:t>
      </w:r>
      <w:r>
        <w:t xml:space="preserve">and</w:t>
      </w:r>
      <w:r>
        <w:t xml:space="preserve"> </w:t>
      </w:r>
      <w:r>
        <w:t xml:space="preserve">Regional</w:t>
      </w:r>
      <w:r>
        <w:t xml:space="preserve"> </w:t>
      </w:r>
      <w:r>
        <w:t xml:space="preserve">Healthcare</w:t>
      </w:r>
      <w:r>
        <w:t xml:space="preserve"> </w:t>
      </w:r>
      <w:r>
        <w:t xml:space="preserve">Equity</w:t>
      </w:r>
    </w:p>
    <w:bookmarkStart w:id="29" w:name="Xef5097349fe58f88f84dc584bdceb3a4e541312"/>
    <w:p>
      <w:pPr>
        <w:pStyle w:val="Heading1"/>
      </w:pPr>
      <w:r>
        <w:t xml:space="preserve">The Evolving Role of the Ophthalmologist in Argentina Córdoba:</w:t>
      </w:r>
      <w:r>
        <w:br/>
      </w:r>
      <w:r>
        <w:t xml:space="preserve">Bridging Technology and Regional Healthcare Equity</w:t>
      </w:r>
    </w:p>
    <w:p>
      <w:pPr>
        <w:pStyle w:val="FirstParagraph"/>
      </w:pPr>
      <w:r>
        <w:t xml:space="preserve">Conference Paper Presented at the South American Forum on Health Innovation</w:t>
      </w:r>
      <w:r>
        <w:br/>
      </w:r>
      <w:r>
        <w:rPr>
          <w:bCs/>
          <w:b/>
        </w:rPr>
        <w:t xml:space="preserve">Córdoba, Argentina, 2024</w:t>
      </w:r>
    </w:p>
    <w:p>
      <w:pPr>
        <w:pStyle w:val="BodyText"/>
      </w:pPr>
      <w:r>
        <w:t xml:space="preserve">Abstract:</w:t>
      </w:r>
      <w:r>
        <w:br/>
      </w:r>
      <w:r>
        <w:t xml:space="preserve">This paper explores the critical transformation of ophthalmic care within the province of Córdoba, Argentina. As one of the largest medical hubs in Latin America, Córdoba faces unique challenges regarding healthcare accessibility, socioeconomic disparities, and technological integration. We analyze how the modern</w:t>
      </w:r>
      <w:r>
        <w:t xml:space="preserve"> </w:t>
      </w:r>
      <w:r>
        <w:rPr>
          <w:bCs/>
          <w:b/>
        </w:rPr>
        <w:t xml:space="preserve">Ophthalmologist</w:t>
      </w:r>
      <w:r>
        <w:t xml:space="preserve"> </w:t>
      </w:r>
      <w:r>
        <w:t xml:space="preserve">in</w:t>
      </w:r>
      <w:r>
        <w:t xml:space="preserve"> </w:t>
      </w:r>
      <w:r>
        <w:rPr>
          <w:bCs/>
          <w:b/>
        </w:rPr>
        <w:t xml:space="preserve">Argentina Córdoba</w:t>
      </w:r>
      <w:r>
        <w:t xml:space="preserve"> </w:t>
      </w:r>
      <w:r>
        <w:t xml:space="preserve">is not merely a clinician but a central node in a broader network of public health strategy and digital innovation. The study highlights the shift towards teleophthalmology, AI-assisted diagnostics, and community outreach programs designed to address glaucoma and diabetic retinopathy rates. By examining local case studies and regional policy frameworks, this paper argues that strengthening the role of the</w:t>
      </w:r>
      <w:r>
        <w:t xml:space="preserve"> </w:t>
      </w:r>
      <w:r>
        <w:rPr>
          <w:bCs/>
          <w:b/>
        </w:rPr>
        <w:t xml:space="preserve">Ophthalmologist</w:t>
      </w:r>
      <w:r>
        <w:t xml:space="preserve"> </w:t>
      </w:r>
      <w:r>
        <w:t xml:space="preserve">is essential for achieving universal health coverage in</w:t>
      </w:r>
      <w:r>
        <w:t xml:space="preserve"> </w:t>
      </w:r>
      <w:r>
        <w:rPr>
          <w:bCs/>
          <w:b/>
        </w:rPr>
        <w:t xml:space="preserve">Argentina Córdoba</w:t>
      </w:r>
      <w:r>
        <w:t xml:space="preserve">.</w:t>
      </w:r>
    </w:p>
    <w:bookmarkStart w:id="20" w:name="X5317f98e524081bee24b52633f25f1ffd51d146"/>
    <w:p>
      <w:pPr>
        <w:pStyle w:val="Heading2"/>
      </w:pPr>
      <w:r>
        <w:t xml:space="preserve">1. Introduction: The Ocular Health Landscape in Córdoba</w:t>
      </w:r>
    </w:p>
    <w:p>
      <w:pPr>
        <w:pStyle w:val="FirstParagraph"/>
      </w:pPr>
      <w:r>
        <w:t xml:space="preserve">Vision impairment represents a significant yet preventable public health burden globally, and Argentina is no exception. Within the Argentine Republic, the province of Córdoba stands out as a pivotal center for medical education, research, and healthcare provision. However, despite its status as a metropolitan hub with advanced tertiary care centers in cities like Capital City (Córdoba Capital) andVilla María ophthalmic care remains stratified by socioeconomic status and geographic location. The rural periphery of the province often suffers from a shortage of specialized personnel, creating a disparity that an</w:t>
      </w:r>
      <w:r>
        <w:t xml:space="preserve"> </w:t>
      </w:r>
      <w:r>
        <w:rPr>
          <w:bCs/>
          <w:b/>
        </w:rPr>
        <w:t xml:space="preserve">Ophthalmologist</w:t>
      </w:r>
      <w:r>
        <w:t xml:space="preserve"> </w:t>
      </w:r>
      <w:r>
        <w:t xml:space="preserve">working solely within private institutions cannot resolve alone.</w:t>
      </w:r>
    </w:p>
    <w:p>
      <w:pPr>
        <w:pStyle w:val="BodyText"/>
      </w:pPr>
      <w:r>
        <w:t xml:space="preserve">The role of the</w:t>
      </w:r>
      <w:r>
        <w:t xml:space="preserve"> </w:t>
      </w:r>
      <w:r>
        <w:rPr>
          <w:bCs/>
          <w:b/>
        </w:rPr>
        <w:t xml:space="preserve">Ophthalmologist</w:t>
      </w:r>
      <w:r>
        <w:t xml:space="preserve"> </w:t>
      </w:r>
      <w:r>
        <w:t xml:space="preserve">in this context has expanded beyond the operating room or the consulting room. It now encompasses advocacy, health education, and systemic coordination. For stakeholders in healthcare policy in</w:t>
      </w:r>
      <w:r>
        <w:t xml:space="preserve"> </w:t>
      </w:r>
      <w:r>
        <w:rPr>
          <w:bCs/>
          <w:b/>
        </w:rPr>
        <w:t xml:space="preserve">Argentina Córdoba</w:t>
      </w:r>
      <w:r>
        <w:t xml:space="preserve">, understanding this multifaceted role is crucial. This paper posits that empowering the ophthalmologist with better resources and integrating them into public health strategies is the most viable path to reducing preventable blindness in the region.</w:t>
      </w:r>
    </w:p>
    <w:bookmarkEnd w:id="20"/>
    <w:bookmarkStart w:id="21" w:name="Xc404424cba79c224d4e5b609a96a2649c8574f4"/>
    <w:p>
      <w:pPr>
        <w:pStyle w:val="Heading2"/>
      </w:pPr>
      <w:r>
        <w:t xml:space="preserve">2. The Ophthalmologist as a Public Health Leader</w:t>
      </w:r>
    </w:p>
    <w:p>
      <w:pPr>
        <w:pStyle w:val="FirstParagraph"/>
      </w:pPr>
      <w:r>
        <w:t xml:space="preserve">In recent years, the prevalence of non-communicable diseases such as diabetes has risen sharply across Argentina. Diabetic retinopathy is a leading cause of blindness among working-age adults, yet it is largely asymptomatic in early stages. In</w:t>
      </w:r>
      <w:r>
        <w:t xml:space="preserve"> </w:t>
      </w:r>
      <w:r>
        <w:rPr>
          <w:bCs/>
          <w:b/>
        </w:rPr>
        <w:t xml:space="preserve">Argentina Córdoba</w:t>
      </w:r>
      <w:r>
        <w:t xml:space="preserve">, the high volume of patients presenting with advanced stages of diabetic eye disease underscores the need for proactive screening programs.</w:t>
      </w:r>
    </w:p>
    <w:p>
      <w:pPr>
        <w:pStyle w:val="BlockText"/>
      </w:pPr>
      <w:r>
        <w:t xml:space="preserve">"The Ophthalmologist must transition from being a reactive specialist to a proactive guardian of community health."</w:t>
      </w:r>
    </w:p>
    <w:p>
      <w:pPr>
        <w:pStyle w:val="FirstParagraph"/>
      </w:pPr>
      <w:r>
        <w:t xml:space="preserve">This shift requires collaboration between private practitioners and public entities such as provincial health insurance schemes (Obras Sociales) and national social security systems. The ophthalmologist in Córdoba is increasingly expected to lead multidisciplinary teams, working alongside endocrinologists, primary care physicians, and nurses. This collaborative model ensures that patients with diabetes receive regular retinal examinations, a standard of care that significantly reduces the incidence of severe vision loss.</w:t>
      </w:r>
    </w:p>
    <w:bookmarkEnd w:id="21"/>
    <w:bookmarkStart w:id="24" w:name="Xa8e08fad000ae5053acc9955a58b338b0b51352"/>
    <w:p>
      <w:pPr>
        <w:pStyle w:val="Heading2"/>
      </w:pPr>
      <w:r>
        <w:t xml:space="preserve">3. Technological Integration and Teleophthalmology</w:t>
      </w:r>
    </w:p>
    <w:p>
      <w:pPr>
        <w:pStyle w:val="FirstParagraph"/>
      </w:pPr>
      <w:r>
        <w:t xml:space="preserve">Digital health technologies offer a promising solution to the geographical barriers present in rural parts of Córdoba. Teleophthalmology has emerged as a vital tool, allowing specialists to review images captured by primary care providers or community health workers in remote areas. For the modern ophthalmologist practicing in or consulting for</w:t>
      </w:r>
      <w:r>
        <w:t xml:space="preserve"> </w:t>
      </w:r>
      <w:r>
        <w:rPr>
          <w:bCs/>
          <w:b/>
        </w:rPr>
        <w:t xml:space="preserve">Argentina Córdoba</w:t>
      </w:r>
      <w:r>
        <w:t xml:space="preserve">, proficiency with digital imaging platforms is no longer optional but mandatory.</w:t>
      </w:r>
    </w:p>
    <w:bookmarkStart w:id="22" w:name="X8db46eb87419d3ff5dbaa417faadd12f8dd2985"/>
    <w:p>
      <w:pPr>
        <w:pStyle w:val="Heading3"/>
      </w:pPr>
      <w:r>
        <w:t xml:space="preserve">3.1 Artificial Intelligence and Diagnostic Efficiency</w:t>
      </w:r>
    </w:p>
    <w:p>
      <w:pPr>
        <w:pStyle w:val="FirstParagraph"/>
      </w:pPr>
      <w:r>
        <w:t xml:space="preserve">The integration of Artificial Intelligence (AI) algorithms into retinal screening workflows is accelerating the pace of diagnosis. These tools can flag high-risk images for immediate review by the ophthalmologist, thereby optimizing workflow and ensuring that critical cases are not missed. In resource-constrained settings within the province, this triage capability is invaluable. It allows a single ophthalmologist to effectively screen hundreds of patients per week, a feat previously impossible with traditional manual methods.</w:t>
      </w:r>
    </w:p>
    <w:bookmarkEnd w:id="22"/>
    <w:bookmarkStart w:id="23" w:name="data-driven-policy-making"/>
    <w:p>
      <w:pPr>
        <w:pStyle w:val="Heading3"/>
      </w:pPr>
      <w:r>
        <w:t xml:space="preserve">3.2 Data-Driven Policy Making</w:t>
      </w:r>
    </w:p>
    <w:p>
      <w:pPr>
        <w:pStyle w:val="FirstParagraph"/>
      </w:pPr>
      <w:r>
        <w:t xml:space="preserve">Data collected through these digital platforms provides valuable epidemiological insights for health authorities in Córdoba. By analyzing trends in glaucoma prevalence or cataract surgery outcomes, policymakers can allocate resources more effectively. The ophthalmologist’s role here is dual: to provide care and to contribute data that shapes the future of eye health policy in the region.</w:t>
      </w:r>
    </w:p>
    <w:bookmarkEnd w:id="23"/>
    <w:bookmarkEnd w:id="24"/>
    <w:bookmarkStart w:id="25" w:name="Xcc9ff128ea710a6b25dc5dd5f915d1d8e058fd6"/>
    <w:p>
      <w:pPr>
        <w:pStyle w:val="Heading2"/>
      </w:pPr>
      <w:r>
        <w:t xml:space="preserve">4. Challenges Facing Ophthalmic Care in Córdoba</w:t>
      </w:r>
    </w:p>
    <w:p>
      <w:pPr>
        <w:pStyle w:val="FirstParagraph"/>
      </w:pPr>
      <w:r>
        <w:t xml:space="preserve">Despite these advancements, several challenges persist. Economic volatility in Argentina impacts the availability of high-cost medical equipment and pharmaceuticals. Supply chain disruptions can lead to shortages of essential supplies for cataract surgery or glaucoma management.</w:t>
      </w:r>
    </w:p>
    <w:p>
      <w:pPr>
        <w:pStyle w:val="BodyText"/>
      </w:pPr>
      <w:r>
        <w:t xml:space="preserve">Furthermore, there is a need for greater investment in training programs specifically tailored to the Argentine context. While many ophthalmologists in</w:t>
      </w:r>
      <w:r>
        <w:t xml:space="preserve"> </w:t>
      </w:r>
      <w:r>
        <w:rPr>
          <w:bCs/>
          <w:b/>
        </w:rPr>
        <w:t xml:space="preserve">Argentina Córdoba</w:t>
      </w:r>
      <w:r>
        <w:t xml:space="preserve"> </w:t>
      </w:r>
      <w:r>
        <w:t xml:space="preserve">are highly trained internationally, continuous education on local disease patterns and healthcare navigation is essential. There is also a significant gap in pediatric ophthalmic care, where congenital cataracts and refractive errors often go undetected until school age, impacting educational outcomes.</w:t>
      </w:r>
    </w:p>
    <w:bookmarkEnd w:id="25"/>
    <w:bookmarkStart w:id="26" w:name="strategies-for-improvement"/>
    <w:p>
      <w:pPr>
        <w:pStyle w:val="Heading2"/>
      </w:pPr>
      <w:r>
        <w:t xml:space="preserve">5. Strategies for Improvement</w:t>
      </w:r>
    </w:p>
    <w:p>
      <w:pPr>
        <w:pStyle w:val="FirstParagraph"/>
      </w:pPr>
      <w:r>
        <w:t xml:space="preserve">To address these issues, we propose a three-pillar strategy for the future of ophthalmology in Córdoba:</w:t>
      </w:r>
    </w:p>
    <w:p>
      <w:pPr>
        <w:numPr>
          <w:ilvl w:val="0"/>
          <w:numId w:val="1001"/>
        </w:numPr>
        <w:pStyle w:val="Compact"/>
      </w:pPr>
      <w:r>
        <w:rPr>
          <w:bCs/>
          <w:b/>
        </w:rPr>
        <w:t xml:space="preserve">PUBLIC-PRIVATE PARTNERSHIPS:</w:t>
      </w:r>
      <w:r>
        <w:t xml:space="preserve"> </w:t>
      </w:r>
      <w:r>
        <w:t xml:space="preserve">Strengthening collaborations between private clinics and public hospitals. Private ophthalmologists can contribute to public health campaigns during off-hours, sharing expertise and resources.</w:t>
      </w:r>
    </w:p>
    <w:p>
      <w:pPr>
        <w:numPr>
          <w:ilvl w:val="0"/>
          <w:numId w:val="1001"/>
        </w:numPr>
        <w:pStyle w:val="Compact"/>
      </w:pPr>
      <w:r>
        <w:rPr>
          <w:bCs/>
          <w:b/>
        </w:rPr>
        <w:t xml:space="preserve">TECHNOLOGICAL INFRASTRUCTURE:</w:t>
      </w:r>
      <w:r>
        <w:t xml:space="preserve"> </w:t>
      </w:r>
      <w:r>
        <w:t xml:space="preserve">Government investment in broadband internet infrastructure in rural Córdoba is critical for the success of telemedicine initiatives. Without reliable connectivity, the digital divide will continue to widen access gaps.</w:t>
      </w:r>
    </w:p>
    <w:p>
      <w:pPr>
        <w:numPr>
          <w:ilvl w:val="0"/>
          <w:numId w:val="1001"/>
        </w:numPr>
        <w:pStyle w:val="Compact"/>
      </w:pPr>
      <w:r>
        <w:rPr>
          <w:bCs/>
          <w:b/>
        </w:rPr>
        <w:t xml:space="preserve">MEDICAL EDUCATION REFORM:</w:t>
      </w:r>
      <w:r>
        <w:t xml:space="preserve"> </w:t>
      </w:r>
      <w:r>
        <w:t xml:space="preserve">Incorporating modules on public health economics and digital health tools into ophthalmology residency programs at local universities. This will prepare the next generation of ophthalmologists to serve as effective leaders in a complex healthcare system.</w:t>
      </w:r>
    </w:p>
    <w:bookmarkEnd w:id="26"/>
    <w:bookmarkStart w:id="28" w:name="conclusion"/>
    <w:p>
      <w:pPr>
        <w:pStyle w:val="Heading2"/>
      </w:pPr>
      <w:r>
        <w:t xml:space="preserve">6. Conclusion</w:t>
      </w:r>
    </w:p>
    <w:p>
      <w:pPr>
        <w:pStyle w:val="FirstParagraph"/>
      </w:pPr>
      <w:r>
        <w:t xml:space="preserve">The future of eye care in Argentina is bright, but only if we recognize the central role of the ophthalmologist within the broader public health ecosystem. In Córdoba, where medical tradition meets modern challenges, there is a unique opportunity to set a regional standard for comprehensive eye care. By embracing technology, fostering collaboration across sectors, and focusing on equity,</w:t>
      </w:r>
      <w:r>
        <w:rPr>
          <w:bCs/>
          <w:b/>
        </w:rPr>
        <w:t xml:space="preserve">Argentina Córdoba</w:t>
      </w:r>
      <w:r>
        <w:t xml:space="preserve"> </w:t>
      </w:r>
      <w:r>
        <w:t xml:space="preserve">can ensure that every citizen has access to the vision-saving services provided by skilled ophthalmologists.</w:t>
      </w:r>
    </w:p>
    <w:p>
      <w:pPr>
        <w:pStyle w:val="BodyText"/>
      </w:pPr>
      <w:r>
        <w:t xml:space="preserve">We urge policymakers, hospital administrators, and medical associations in Córdoba to prioritize these initiatives. The cost of inaction is measured not just in economic terms, but in human potential lost due to preventable blindness. Let us empower our ophthalmologists to lead this change.</w:t>
      </w:r>
    </w:p>
    <w:bookmarkStart w:id="27" w:name="references"/>
    <w:p>
      <w:pPr>
        <w:pStyle w:val="Heading3"/>
      </w:pPr>
      <w:r>
        <w:t xml:space="preserve">References</w:t>
      </w:r>
    </w:p>
    <w:p>
      <w:pPr>
        <w:numPr>
          <w:ilvl w:val="0"/>
          <w:numId w:val="1002"/>
        </w:numPr>
        <w:pStyle w:val="Compact"/>
      </w:pPr>
      <w:r>
        <w:t xml:space="preserve">World Health Organization (WHO). (2022). Global Report on Vision. Geneva: WHO.</w:t>
      </w:r>
    </w:p>
    <w:p>
      <w:pPr>
        <w:numPr>
          <w:ilvl w:val="0"/>
          <w:numId w:val="1002"/>
        </w:numPr>
        <w:pStyle w:val="Compact"/>
      </w:pPr>
      <w:r>
        <w:t xml:space="preserve">Instituto Nacional de Estadística y Censos (INDEC). Argentina. (2023). Statistical Yearbook of Argentina, Section on Health Indicators.</w:t>
      </w:r>
    </w:p>
    <w:p>
      <w:pPr>
        <w:numPr>
          <w:ilvl w:val="0"/>
          <w:numId w:val="1002"/>
        </w:numPr>
        <w:pStyle w:val="Compact"/>
      </w:pPr>
      <w:r>
        <w:t xml:space="preserve">Sociedad Argentina de Oftalmología. (2023). Position Paper on Teleophthalmology Implementation in Rural Areas.</w:t>
      </w:r>
    </w:p>
    <w:p>
      <w:pPr>
        <w:numPr>
          <w:ilvl w:val="0"/>
          <w:numId w:val="1002"/>
        </w:numPr>
        <w:pStyle w:val="Compact"/>
      </w:pPr>
      <w:r>
        <w:t xml:space="preserve">Government of Córdoba Province. Ministry of Health. (2021-2035 Strategic Plan for Primary Care Integration.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Argentina Córdoba: Bridging Technology and Regional Healthcare Equity</dc:title>
  <dc:creator/>
  <dc:language>en</dc:language>
  <cp:keywords/>
  <dcterms:created xsi:type="dcterms:W3CDTF">2026-07-29T20:31:58Z</dcterms:created>
  <dcterms:modified xsi:type="dcterms:W3CDTF">2026-07-29T20:31:58Z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